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B7A00" w14:textId="77777777" w:rsidR="006E6BD4" w:rsidRDefault="006E6BD4" w:rsidP="006E6BD4">
      <w:pPr>
        <w:pStyle w:val="a4"/>
      </w:pPr>
      <w:r>
        <w:t>МИНИСТЕРСТВО ЗДРАВООХРАНЕНИЯ РОССИЙСКОЙ ФЕДЕРАЦИИ</w:t>
      </w:r>
    </w:p>
    <w:p w14:paraId="07B45A4C" w14:textId="77777777" w:rsidR="006E6BD4" w:rsidRDefault="006E6BD4" w:rsidP="006E6B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F8D8AC" w14:textId="77777777" w:rsidR="006E6BD4" w:rsidRDefault="006E6BD4" w:rsidP="006E6BD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</w:t>
      </w:r>
      <w:r w:rsidR="00E5017C">
        <w:rPr>
          <w:rFonts w:ascii="Times New Roman" w:hAnsi="Times New Roman"/>
          <w:sz w:val="28"/>
          <w:szCs w:val="28"/>
        </w:rPr>
        <w:t xml:space="preserve"> ПО МЕДИЦИНСКОМУ ПРИМЕНЕНИЮ ЛЕКАРСТВЕННОГО ПРЕПАРАТА</w:t>
      </w:r>
    </w:p>
    <w:p w14:paraId="619D07C3" w14:textId="77777777" w:rsidR="006E6BD4" w:rsidRPr="00067FBD" w:rsidRDefault="006E6BD4" w:rsidP="006E6BD4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ДИГОКСИН</w:t>
      </w:r>
    </w:p>
    <w:p w14:paraId="603FB667" w14:textId="77777777" w:rsidR="006E6BD4" w:rsidRPr="00067FBD" w:rsidRDefault="006E6BD4" w:rsidP="006E6BD4">
      <w:pPr>
        <w:pStyle w:val="3"/>
        <w:rPr>
          <w:b/>
          <w:bCs/>
        </w:rPr>
      </w:pPr>
    </w:p>
    <w:p w14:paraId="07458336" w14:textId="77777777" w:rsidR="006E6BD4" w:rsidRPr="001C6F65" w:rsidRDefault="006E6BD4" w:rsidP="006E6BD4">
      <w:pPr>
        <w:pStyle w:val="3"/>
        <w:rPr>
          <w:bCs/>
        </w:rPr>
      </w:pPr>
      <w:r w:rsidRPr="002329AE">
        <w:rPr>
          <w:b/>
          <w:bCs/>
        </w:rPr>
        <w:t>Регистрационный номер:</w:t>
      </w:r>
      <w:r w:rsidR="00346E97" w:rsidRPr="002329AE">
        <w:rPr>
          <w:b/>
          <w:bCs/>
        </w:rPr>
        <w:t xml:space="preserve"> </w:t>
      </w:r>
      <w:r w:rsidR="00346E97" w:rsidRPr="002329AE">
        <w:rPr>
          <w:bCs/>
        </w:rPr>
        <w:t>ЛП-005258</w:t>
      </w:r>
    </w:p>
    <w:p w14:paraId="10C7506A" w14:textId="77777777" w:rsidR="006E6BD4" w:rsidRPr="002329AE" w:rsidRDefault="006E6BD4" w:rsidP="006E6BD4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9AE">
        <w:rPr>
          <w:rFonts w:ascii="Times New Roman" w:hAnsi="Times New Roman"/>
          <w:b/>
          <w:bCs/>
          <w:sz w:val="24"/>
          <w:szCs w:val="24"/>
        </w:rPr>
        <w:t>Торговое наименование препарата:</w:t>
      </w:r>
      <w:r w:rsidRPr="00232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9AE">
        <w:rPr>
          <w:rFonts w:ascii="Times New Roman" w:hAnsi="Times New Roman"/>
          <w:sz w:val="24"/>
          <w:szCs w:val="24"/>
        </w:rPr>
        <w:t>Дигоксин</w:t>
      </w:r>
      <w:proofErr w:type="spellEnd"/>
    </w:p>
    <w:p w14:paraId="4964A2E9" w14:textId="77777777" w:rsidR="006E6BD4" w:rsidRPr="002329AE" w:rsidRDefault="006E6BD4" w:rsidP="006E6BD4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2329AE">
        <w:rPr>
          <w:rFonts w:ascii="Times New Roman" w:hAnsi="Times New Roman"/>
          <w:b/>
          <w:bCs/>
          <w:sz w:val="24"/>
          <w:szCs w:val="24"/>
        </w:rPr>
        <w:t xml:space="preserve">Международное непатентованное или </w:t>
      </w:r>
      <w:proofErr w:type="spellStart"/>
      <w:r w:rsidR="00E5017C" w:rsidRPr="002329AE">
        <w:rPr>
          <w:rFonts w:ascii="Times New Roman" w:hAnsi="Times New Roman"/>
          <w:b/>
          <w:bCs/>
          <w:sz w:val="24"/>
          <w:szCs w:val="24"/>
        </w:rPr>
        <w:t>группировочное</w:t>
      </w:r>
      <w:proofErr w:type="spellEnd"/>
      <w:r w:rsidR="00E5017C" w:rsidRPr="002329AE">
        <w:rPr>
          <w:rFonts w:ascii="Times New Roman" w:hAnsi="Times New Roman"/>
          <w:b/>
          <w:bCs/>
          <w:sz w:val="24"/>
          <w:szCs w:val="24"/>
        </w:rPr>
        <w:t xml:space="preserve"> наименование</w:t>
      </w:r>
      <w:r w:rsidRPr="002329AE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2329AE">
        <w:rPr>
          <w:rFonts w:ascii="Times New Roman" w:hAnsi="Times New Roman"/>
          <w:bCs/>
          <w:sz w:val="24"/>
          <w:szCs w:val="24"/>
        </w:rPr>
        <w:t>Дигоксин</w:t>
      </w:r>
      <w:proofErr w:type="spellEnd"/>
    </w:p>
    <w:p w14:paraId="34CAAB86" w14:textId="77777777" w:rsidR="006E6BD4" w:rsidRPr="002329AE" w:rsidRDefault="006E6BD4" w:rsidP="006E6BD4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9AE">
        <w:rPr>
          <w:rFonts w:ascii="Times New Roman" w:hAnsi="Times New Roman"/>
          <w:b/>
          <w:bCs/>
          <w:sz w:val="24"/>
          <w:szCs w:val="24"/>
        </w:rPr>
        <w:t>Лекарственная форма:</w:t>
      </w:r>
      <w:r w:rsidRPr="002329AE">
        <w:rPr>
          <w:rFonts w:ascii="Times New Roman" w:hAnsi="Times New Roman"/>
          <w:sz w:val="24"/>
          <w:szCs w:val="24"/>
        </w:rPr>
        <w:t xml:space="preserve"> </w:t>
      </w:r>
      <w:r w:rsidRPr="002329AE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таблетки </w:t>
      </w:r>
    </w:p>
    <w:p w14:paraId="5E22F637" w14:textId="77777777" w:rsidR="006E6BD4" w:rsidRPr="002329AE" w:rsidRDefault="006E6BD4" w:rsidP="006E6BD4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2329AE">
        <w:rPr>
          <w:rFonts w:ascii="Times New Roman" w:hAnsi="Times New Roman"/>
          <w:b/>
          <w:bCs/>
          <w:sz w:val="24"/>
          <w:szCs w:val="24"/>
        </w:rPr>
        <w:t>Состав на 1 таблетку:</w:t>
      </w:r>
    </w:p>
    <w:p w14:paraId="7E4C8135" w14:textId="77777777" w:rsidR="006E6BD4" w:rsidRPr="006E6BD4" w:rsidRDefault="00E5017C" w:rsidP="00A50697">
      <w:pPr>
        <w:jc w:val="both"/>
        <w:rPr>
          <w:rStyle w:val="a3"/>
          <w:rFonts w:eastAsia="Calibri"/>
          <w:sz w:val="28"/>
          <w:szCs w:val="24"/>
        </w:rPr>
      </w:pPr>
      <w:r w:rsidRPr="002329AE">
        <w:rPr>
          <w:rFonts w:ascii="Times New Roman" w:hAnsi="Times New Roman"/>
          <w:i/>
          <w:iCs/>
          <w:sz w:val="24"/>
        </w:rPr>
        <w:t>Действующее</w:t>
      </w:r>
      <w:r w:rsidR="006E6BD4" w:rsidRPr="002329AE">
        <w:rPr>
          <w:rFonts w:ascii="Times New Roman" w:hAnsi="Times New Roman"/>
          <w:i/>
          <w:iCs/>
          <w:sz w:val="24"/>
        </w:rPr>
        <w:t xml:space="preserve"> вещество:</w:t>
      </w:r>
      <w:r w:rsidR="006E6BD4" w:rsidRPr="009B2D99">
        <w:rPr>
          <w:rStyle w:val="a3"/>
          <w:rFonts w:eastAsia="Calibri"/>
          <w:i/>
          <w:iCs/>
          <w:sz w:val="28"/>
          <w:szCs w:val="24"/>
        </w:rPr>
        <w:t xml:space="preserve"> </w:t>
      </w:r>
      <w:r w:rsidR="006E6BD4" w:rsidRPr="009B2D99">
        <w:rPr>
          <w:rStyle w:val="a3"/>
          <w:rFonts w:eastAsia="Calibri"/>
          <w:sz w:val="28"/>
          <w:szCs w:val="24"/>
        </w:rPr>
        <w:t xml:space="preserve"> </w:t>
      </w:r>
    </w:p>
    <w:p w14:paraId="5805B74D" w14:textId="77777777" w:rsidR="006E6BD4" w:rsidRDefault="006E6BD4" w:rsidP="00A5069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Дигоксин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0,25 мг</w:t>
      </w:r>
    </w:p>
    <w:p w14:paraId="6E55F849" w14:textId="77777777" w:rsidR="006E6BD4" w:rsidRPr="006E6BD4" w:rsidRDefault="006E6BD4" w:rsidP="00A50697">
      <w:pPr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E6BD4">
        <w:rPr>
          <w:rFonts w:ascii="Times New Roman" w:eastAsia="Times New Roman" w:hAnsi="Times New Roman"/>
          <w:i/>
          <w:sz w:val="24"/>
          <w:szCs w:val="24"/>
          <w:lang w:eastAsia="ru-RU"/>
        </w:rPr>
        <w:t>Вспомогательные вещества:</w:t>
      </w:r>
    </w:p>
    <w:p w14:paraId="7322F743" w14:textId="77777777" w:rsidR="006E6BD4" w:rsidRPr="006E6BD4" w:rsidRDefault="006E6BD4" w:rsidP="00A5069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BD4">
        <w:rPr>
          <w:rFonts w:ascii="Times New Roman" w:eastAsia="Times New Roman" w:hAnsi="Times New Roman"/>
          <w:sz w:val="24"/>
          <w:szCs w:val="24"/>
          <w:lang w:eastAsia="ru-RU"/>
        </w:rPr>
        <w:t>Лактозы моногидрат</w:t>
      </w:r>
      <w:r w:rsidR="001C6F6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6E6BD4">
        <w:rPr>
          <w:rFonts w:ascii="Times New Roman" w:eastAsia="Times New Roman" w:hAnsi="Times New Roman"/>
          <w:sz w:val="24"/>
          <w:szCs w:val="24"/>
          <w:lang w:eastAsia="ru-RU"/>
        </w:rPr>
        <w:t>39,98 мг</w:t>
      </w:r>
      <w:r w:rsidR="00A50697">
        <w:rPr>
          <w:rFonts w:ascii="Times New Roman" w:eastAsia="Times New Roman" w:hAnsi="Times New Roman"/>
          <w:sz w:val="24"/>
          <w:szCs w:val="24"/>
          <w:lang w:eastAsia="ru-RU"/>
        </w:rPr>
        <w:t xml:space="preserve">; сахароза (сахар-песок) - </w:t>
      </w:r>
      <w:r w:rsidRPr="006E6BD4">
        <w:rPr>
          <w:rFonts w:ascii="Times New Roman" w:eastAsia="Times New Roman" w:hAnsi="Times New Roman"/>
          <w:sz w:val="24"/>
          <w:szCs w:val="24"/>
          <w:lang w:eastAsia="ru-RU"/>
        </w:rPr>
        <w:t>0,505 мг</w:t>
      </w:r>
      <w:r w:rsidR="00A50697">
        <w:rPr>
          <w:rFonts w:ascii="Times New Roman" w:eastAsia="Times New Roman" w:hAnsi="Times New Roman"/>
          <w:sz w:val="24"/>
          <w:szCs w:val="24"/>
          <w:lang w:eastAsia="ru-RU"/>
        </w:rPr>
        <w:t>;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екстрозы моногидрат</w:t>
      </w:r>
      <w:r w:rsidR="00A506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697" w:rsidRPr="00A5069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A50697" w:rsidRPr="00A50697"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="00A50697">
        <w:rPr>
          <w:rFonts w:ascii="Times New Roman" w:eastAsia="Times New Roman" w:hAnsi="Times New Roman"/>
          <w:sz w:val="24"/>
          <w:szCs w:val="24"/>
          <w:lang w:eastAsia="ru-RU"/>
        </w:rPr>
        <w:t>кадекс</w:t>
      </w:r>
      <w:proofErr w:type="spellEnd"/>
      <w:r w:rsidR="00A50697">
        <w:rPr>
          <w:rFonts w:ascii="Times New Roman" w:eastAsia="Times New Roman" w:hAnsi="Times New Roman"/>
          <w:sz w:val="24"/>
          <w:szCs w:val="24"/>
          <w:lang w:eastAsia="ru-RU"/>
        </w:rPr>
        <w:t xml:space="preserve"> ПФ декстрозы моногидрат) - </w:t>
      </w:r>
      <w:r w:rsidRPr="006E6BD4">
        <w:rPr>
          <w:rFonts w:ascii="Times New Roman" w:eastAsia="Times New Roman" w:hAnsi="Times New Roman"/>
          <w:sz w:val="24"/>
          <w:szCs w:val="24"/>
          <w:lang w:eastAsia="ru-RU"/>
        </w:rPr>
        <w:t>0,5 мг</w:t>
      </w:r>
      <w:r w:rsidR="00A50697">
        <w:rPr>
          <w:rFonts w:ascii="Times New Roman" w:eastAsia="Times New Roman" w:hAnsi="Times New Roman"/>
          <w:sz w:val="24"/>
          <w:szCs w:val="24"/>
          <w:lang w:eastAsia="ru-RU"/>
        </w:rPr>
        <w:t xml:space="preserve">; крахмал </w:t>
      </w:r>
      <w:r w:rsidR="008725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697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картофельный - </w:t>
      </w:r>
      <w:r w:rsidRPr="006E6BD4">
        <w:rPr>
          <w:rFonts w:ascii="Times New Roman" w:eastAsia="Times New Roman" w:hAnsi="Times New Roman"/>
          <w:sz w:val="24"/>
          <w:szCs w:val="24"/>
          <w:lang w:eastAsia="ru-RU"/>
        </w:rPr>
        <w:t>7,76 мг</w:t>
      </w:r>
      <w:r w:rsidR="00A50697">
        <w:rPr>
          <w:rFonts w:ascii="Times New Roman" w:eastAsia="Times New Roman" w:hAnsi="Times New Roman"/>
          <w:sz w:val="24"/>
          <w:szCs w:val="24"/>
          <w:lang w:eastAsia="ru-RU"/>
        </w:rPr>
        <w:t>;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альк</w:t>
      </w:r>
      <w:r w:rsidR="00A50697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6E6BD4">
        <w:rPr>
          <w:rFonts w:ascii="Times New Roman" w:eastAsia="Times New Roman" w:hAnsi="Times New Roman"/>
          <w:sz w:val="24"/>
          <w:szCs w:val="24"/>
          <w:lang w:eastAsia="ru-RU"/>
        </w:rPr>
        <w:t>0,505 мг</w:t>
      </w:r>
      <w:r w:rsidR="00A50697">
        <w:rPr>
          <w:rFonts w:ascii="Times New Roman" w:eastAsia="Times New Roman" w:hAnsi="Times New Roman"/>
          <w:sz w:val="24"/>
          <w:szCs w:val="24"/>
          <w:lang w:eastAsia="ru-RU"/>
        </w:rPr>
        <w:t xml:space="preserve">; стеариновая кислота - </w:t>
      </w:r>
      <w:r w:rsidRPr="006E6BD4">
        <w:rPr>
          <w:rFonts w:ascii="Times New Roman" w:eastAsia="Times New Roman" w:hAnsi="Times New Roman"/>
          <w:sz w:val="24"/>
          <w:szCs w:val="24"/>
          <w:lang w:eastAsia="ru-RU"/>
        </w:rPr>
        <w:t>0,5 мг</w:t>
      </w:r>
      <w:r w:rsidR="00A5069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E6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E6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E6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E6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E6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E6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E6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1F74B12A" w14:textId="77777777" w:rsidR="006E6BD4" w:rsidRPr="00A504EB" w:rsidRDefault="006E6BD4" w:rsidP="006E6BD4">
      <w:pPr>
        <w:pStyle w:val="3"/>
        <w:rPr>
          <w:rStyle w:val="2"/>
          <w:rFonts w:eastAsia="Calibri"/>
          <w:b/>
          <w:bCs/>
          <w:sz w:val="24"/>
          <w:szCs w:val="24"/>
        </w:rPr>
      </w:pPr>
      <w:r w:rsidRPr="00A504EB">
        <w:rPr>
          <w:rStyle w:val="2"/>
          <w:rFonts w:eastAsia="Calibri"/>
          <w:b/>
          <w:bCs/>
          <w:sz w:val="24"/>
          <w:szCs w:val="24"/>
        </w:rPr>
        <w:t>Описание</w:t>
      </w:r>
    </w:p>
    <w:p w14:paraId="5ABD5A6B" w14:textId="77777777" w:rsidR="006E6BD4" w:rsidRPr="003F1C42" w:rsidRDefault="00A504EB" w:rsidP="0093164B">
      <w:pPr>
        <w:pStyle w:val="3"/>
        <w:jc w:val="left"/>
        <w:rPr>
          <w:b/>
        </w:rPr>
      </w:pPr>
      <w:r w:rsidRPr="00A504EB">
        <w:rPr>
          <w:szCs w:val="28"/>
        </w:rPr>
        <w:t xml:space="preserve">Таблетки белого цвета, плоскоцилиндрической формы, с фаской. </w:t>
      </w:r>
      <w:r w:rsidR="006E6BD4" w:rsidRPr="000B3C16">
        <w:rPr>
          <w:b/>
          <w:color w:val="auto"/>
        </w:rPr>
        <w:t>Фармакотерапевтическая группа:</w:t>
      </w:r>
      <w:r w:rsidR="006E6BD4">
        <w:t xml:space="preserve"> </w:t>
      </w:r>
      <w:proofErr w:type="spellStart"/>
      <w:r>
        <w:t>кардиотоническое</w:t>
      </w:r>
      <w:proofErr w:type="spellEnd"/>
      <w:r w:rsidR="006E6BD4">
        <w:t xml:space="preserve"> средство </w:t>
      </w:r>
      <w:r>
        <w:t>– сердечный гликозид</w:t>
      </w:r>
      <w:r w:rsidR="006E6BD4">
        <w:t>.</w:t>
      </w:r>
    </w:p>
    <w:p w14:paraId="2D42A39F" w14:textId="77777777" w:rsidR="006E6BD4" w:rsidRPr="00A50697" w:rsidRDefault="006E6BD4" w:rsidP="006E6BD4">
      <w:pPr>
        <w:pStyle w:val="3"/>
      </w:pPr>
      <w:r>
        <w:rPr>
          <w:b/>
        </w:rPr>
        <w:t>Код АТХ:</w:t>
      </w:r>
      <w:r>
        <w:t xml:space="preserve"> С01</w:t>
      </w:r>
      <w:r w:rsidR="00A504EB">
        <w:rPr>
          <w:lang w:val="en-US"/>
        </w:rPr>
        <w:t>AA</w:t>
      </w:r>
      <w:r w:rsidR="00A504EB" w:rsidRPr="00A50697">
        <w:t>05</w:t>
      </w:r>
      <w:bookmarkStart w:id="0" w:name="#Indication"/>
    </w:p>
    <w:p w14:paraId="708BE20D" w14:textId="77777777" w:rsidR="006E6BD4" w:rsidRDefault="006E6BD4" w:rsidP="006E6BD4">
      <w:pPr>
        <w:pStyle w:val="3"/>
        <w:rPr>
          <w:b/>
        </w:rPr>
      </w:pPr>
      <w:r>
        <w:rPr>
          <w:b/>
        </w:rPr>
        <w:t>Фармакологические свойства</w:t>
      </w:r>
    </w:p>
    <w:p w14:paraId="416BFE04" w14:textId="77777777" w:rsidR="006E6BD4" w:rsidRPr="000B3C16" w:rsidRDefault="006E6BD4" w:rsidP="006E6BD4">
      <w:pPr>
        <w:pStyle w:val="3"/>
        <w:rPr>
          <w:b/>
          <w:i/>
          <w:iCs/>
        </w:rPr>
      </w:pPr>
      <w:proofErr w:type="spellStart"/>
      <w:r>
        <w:rPr>
          <w:b/>
          <w:i/>
          <w:iCs/>
        </w:rPr>
        <w:t>Фармакодинамика</w:t>
      </w:r>
      <w:proofErr w:type="spellEnd"/>
    </w:p>
    <w:p w14:paraId="66FCAB81" w14:textId="77777777" w:rsidR="006E6BD4" w:rsidRDefault="00C605E0" w:rsidP="006E6BD4">
      <w:pPr>
        <w:pStyle w:val="3"/>
      </w:pPr>
      <w:proofErr w:type="spellStart"/>
      <w:r>
        <w:t>Дигоксин</w:t>
      </w:r>
      <w:proofErr w:type="spellEnd"/>
      <w:r>
        <w:t xml:space="preserve"> – сердечный гликозид. Оказывает положительное инотропное действие. Это обусловлено прямым ингибирующим действием </w:t>
      </w:r>
      <w:r>
        <w:rPr>
          <w:lang w:val="en-US"/>
        </w:rPr>
        <w:t>Na</w:t>
      </w:r>
      <w:r w:rsidRPr="00C605E0">
        <w:rPr>
          <w:vertAlign w:val="superscript"/>
        </w:rPr>
        <w:t>+</w:t>
      </w:r>
      <w:r w:rsidRPr="00C605E0">
        <w:t xml:space="preserve"> / </w:t>
      </w:r>
      <w:r>
        <w:rPr>
          <w:lang w:val="en-US"/>
        </w:rPr>
        <w:t>K</w:t>
      </w:r>
      <w:r w:rsidRPr="00C605E0">
        <w:rPr>
          <w:vertAlign w:val="superscript"/>
        </w:rPr>
        <w:t>+</w:t>
      </w:r>
      <w:r w:rsidRPr="00C605E0">
        <w:t xml:space="preserve"> - </w:t>
      </w:r>
      <w:r>
        <w:t xml:space="preserve">АТФ-азы на мембраны </w:t>
      </w:r>
      <w:proofErr w:type="spellStart"/>
      <w:r>
        <w:t>кардиомиоцитов</w:t>
      </w:r>
      <w:proofErr w:type="spellEnd"/>
      <w:r>
        <w:t>, что приводит к увеличению внутриклеточного содержания ионов натрия, соотв</w:t>
      </w:r>
      <w:r w:rsidR="00E5017C">
        <w:t>етственно, снижению ионов калия,</w:t>
      </w:r>
      <w:r>
        <w:t xml:space="preserve"> повышенное содержание ионов натрия вызывает активацию натрий</w:t>
      </w:r>
      <w:r w:rsidRPr="00C605E0">
        <w:t>/</w:t>
      </w:r>
      <w:proofErr w:type="gramStart"/>
      <w:r>
        <w:t>кальциевого  обмена</w:t>
      </w:r>
      <w:proofErr w:type="gramEnd"/>
      <w:r>
        <w:t>, повышение содержания ионов кальция, вследствие чего повышается сила сокращения миокарда.</w:t>
      </w:r>
    </w:p>
    <w:p w14:paraId="064C5BB8" w14:textId="77777777" w:rsidR="00C605E0" w:rsidRDefault="00C605E0" w:rsidP="006E6BD4">
      <w:pPr>
        <w:pStyle w:val="3"/>
      </w:pPr>
      <w:r>
        <w:t xml:space="preserve">В результате увеличения </w:t>
      </w:r>
      <w:proofErr w:type="spellStart"/>
      <w:r>
        <w:t>контрактильности</w:t>
      </w:r>
      <w:proofErr w:type="spellEnd"/>
      <w:r>
        <w:t xml:space="preserve"> миокарда увеличивается ударный объем </w:t>
      </w:r>
      <w:r w:rsidR="00872521">
        <w:t xml:space="preserve">  </w:t>
      </w:r>
      <w:r>
        <w:t xml:space="preserve">крови. Снижается конечный систолический и конечный диастолический объемы сердца, </w:t>
      </w:r>
      <w:r>
        <w:lastRenderedPageBreak/>
        <w:t xml:space="preserve">что наряду с повышением тонуса миокарда, приводит к сокращению его размеров и таким образом к снижению потребности миокарда в кислороде. Оказывает отрицательное </w:t>
      </w:r>
      <w:proofErr w:type="spellStart"/>
      <w:r>
        <w:t>хронотропное</w:t>
      </w:r>
      <w:proofErr w:type="spellEnd"/>
      <w:r>
        <w:t xml:space="preserve"> действие, уменьшает чрезмерную симпатическую активность путем повышения чувствит</w:t>
      </w:r>
      <w:r w:rsidR="00A50697">
        <w:t xml:space="preserve">ельности кардиопульмональных </w:t>
      </w:r>
      <w:proofErr w:type="spellStart"/>
      <w:r w:rsidR="00A50697">
        <w:t>бар</w:t>
      </w:r>
      <w:r>
        <w:t>орецепторов</w:t>
      </w:r>
      <w:proofErr w:type="spellEnd"/>
      <w:r>
        <w:t>. Благодаря увеличению активности блуждающего нерва оказывает антиаритмическое действие, обусловленное уменьшением скорости проведения импульсов через атриовентрикулярный узел и удлинением эффективного рефрактерного периода. Этот эффект усиливается прямым действием на атриовентрикулярный узел и симпатолитическим действием.</w:t>
      </w:r>
    </w:p>
    <w:p w14:paraId="3A674BE1" w14:textId="77777777" w:rsidR="00C605E0" w:rsidRPr="002329AE" w:rsidRDefault="00C605E0" w:rsidP="006E6BD4">
      <w:pPr>
        <w:pStyle w:val="3"/>
      </w:pPr>
      <w:r>
        <w:t xml:space="preserve">Отрицательный </w:t>
      </w:r>
      <w:proofErr w:type="spellStart"/>
      <w:r>
        <w:t>дромотропный</w:t>
      </w:r>
      <w:proofErr w:type="spellEnd"/>
      <w:r>
        <w:t xml:space="preserve"> эффект проявляется в повышении </w:t>
      </w:r>
      <w:proofErr w:type="spellStart"/>
      <w:r>
        <w:t>рефрактерности</w:t>
      </w:r>
      <w:proofErr w:type="spellEnd"/>
      <w:r>
        <w:t xml:space="preserve"> атриовентрикулярного (</w:t>
      </w:r>
      <w:r>
        <w:rPr>
          <w:lang w:val="en-US"/>
        </w:rPr>
        <w:t>AV</w:t>
      </w:r>
      <w:r w:rsidRPr="00C605E0">
        <w:t>)</w:t>
      </w:r>
      <w:r>
        <w:t xml:space="preserve"> узла, что позволяет использовать при пароксизмах </w:t>
      </w:r>
      <w:proofErr w:type="spellStart"/>
      <w:r w:rsidRPr="002329AE">
        <w:t>суправентрикулярных</w:t>
      </w:r>
      <w:proofErr w:type="spellEnd"/>
      <w:r w:rsidRPr="002329AE">
        <w:t xml:space="preserve"> тахикардий и </w:t>
      </w:r>
      <w:proofErr w:type="spellStart"/>
      <w:r w:rsidRPr="002329AE">
        <w:t>тахиаритмий</w:t>
      </w:r>
      <w:proofErr w:type="spellEnd"/>
      <w:r w:rsidRPr="002329AE">
        <w:t>.</w:t>
      </w:r>
    </w:p>
    <w:p w14:paraId="27D6CCC2" w14:textId="77777777" w:rsidR="00C605E0" w:rsidRDefault="00C605E0" w:rsidP="006E6BD4">
      <w:pPr>
        <w:pStyle w:val="3"/>
      </w:pPr>
      <w:r w:rsidRPr="002329AE">
        <w:t xml:space="preserve">При </w:t>
      </w:r>
      <w:proofErr w:type="spellStart"/>
      <w:r w:rsidR="00E5017C" w:rsidRPr="002329AE">
        <w:t>тахисистолической</w:t>
      </w:r>
      <w:proofErr w:type="spellEnd"/>
      <w:r w:rsidR="00E5017C" w:rsidRPr="002329AE">
        <w:t xml:space="preserve"> фибрилляции предсердий</w:t>
      </w:r>
      <w:r w:rsidRPr="002329AE">
        <w:t xml:space="preserve"> способствует</w:t>
      </w:r>
      <w:r>
        <w:t xml:space="preserve"> замедлению частоты желудочковых сокращений, удлиняет диастолу, улучшает внутрисердечную и системную гемодинамику.</w:t>
      </w:r>
    </w:p>
    <w:p w14:paraId="7679F608" w14:textId="77777777" w:rsidR="00C605E0" w:rsidRDefault="00C605E0" w:rsidP="006E6BD4">
      <w:pPr>
        <w:pStyle w:val="3"/>
      </w:pPr>
      <w:r>
        <w:t xml:space="preserve">Положительный </w:t>
      </w:r>
      <w:proofErr w:type="spellStart"/>
      <w:r>
        <w:t>батмотропный</w:t>
      </w:r>
      <w:proofErr w:type="spellEnd"/>
      <w:r>
        <w:t xml:space="preserve"> эффект проявляется при назначении </w:t>
      </w:r>
      <w:proofErr w:type="spellStart"/>
      <w:r>
        <w:t>субтоксических</w:t>
      </w:r>
      <w:proofErr w:type="spellEnd"/>
      <w:r>
        <w:t xml:space="preserve"> и токсических доз.</w:t>
      </w:r>
    </w:p>
    <w:p w14:paraId="3FE07CA7" w14:textId="77777777" w:rsidR="00C605E0" w:rsidRDefault="00C605E0" w:rsidP="006E6BD4">
      <w:pPr>
        <w:pStyle w:val="3"/>
      </w:pPr>
      <w:r>
        <w:t xml:space="preserve">Оказывает прямое </w:t>
      </w:r>
      <w:proofErr w:type="spellStart"/>
      <w:r>
        <w:t>вазоконстрикторное</w:t>
      </w:r>
      <w:proofErr w:type="spellEnd"/>
      <w:r>
        <w:t xml:space="preserve"> действие, которое наиболее четко проявляется при отсутствии застойных периферических отеков.</w:t>
      </w:r>
    </w:p>
    <w:p w14:paraId="221AF44D" w14:textId="77777777" w:rsidR="00C605E0" w:rsidRPr="00C605E0" w:rsidRDefault="00C605E0" w:rsidP="006E6BD4">
      <w:pPr>
        <w:pStyle w:val="3"/>
      </w:pPr>
      <w:r>
        <w:t xml:space="preserve">В то же время косвенный </w:t>
      </w:r>
      <w:proofErr w:type="spellStart"/>
      <w:r>
        <w:t>вазодилатирующий</w:t>
      </w:r>
      <w:proofErr w:type="spellEnd"/>
      <w:r>
        <w:t xml:space="preserve"> эффект (в ответ на повышение минутного объема крови и снижение излишней симпатической стимуляции сосудистого тонуса), как правило, превалируе</w:t>
      </w:r>
      <w:r w:rsidR="00BE4872">
        <w:t xml:space="preserve">т над прямым </w:t>
      </w:r>
      <w:proofErr w:type="spellStart"/>
      <w:r w:rsidR="00BE4872">
        <w:t>вазоконстрикторным</w:t>
      </w:r>
      <w:proofErr w:type="spellEnd"/>
      <w:r w:rsidR="00BE4872">
        <w:t>, в результате чего снижается общее периферическое сосудистое сопротивление (ОПСС).</w:t>
      </w:r>
      <w:r>
        <w:t xml:space="preserve"> </w:t>
      </w:r>
    </w:p>
    <w:p w14:paraId="7F1AFB72" w14:textId="77777777" w:rsidR="006E6BD4" w:rsidRPr="00C605E0" w:rsidRDefault="006E6BD4" w:rsidP="006E6BD4">
      <w:pPr>
        <w:pStyle w:val="3"/>
        <w:rPr>
          <w:b/>
          <w:bCs/>
          <w:i/>
          <w:iCs/>
        </w:rPr>
      </w:pPr>
      <w:proofErr w:type="spellStart"/>
      <w:r w:rsidRPr="00C605E0">
        <w:rPr>
          <w:rStyle w:val="a3"/>
          <w:b/>
          <w:bCs/>
          <w:i/>
          <w:iCs/>
          <w:sz w:val="24"/>
          <w:szCs w:val="24"/>
        </w:rPr>
        <w:t>Фармакокинетика</w:t>
      </w:r>
      <w:proofErr w:type="spellEnd"/>
    </w:p>
    <w:p w14:paraId="492D3D93" w14:textId="77777777" w:rsidR="006E6BD4" w:rsidRPr="00A50697" w:rsidRDefault="00BE4872" w:rsidP="006E6BD4">
      <w:pPr>
        <w:pStyle w:val="a4"/>
        <w:ind w:right="28"/>
        <w:jc w:val="both"/>
        <w:rPr>
          <w:rStyle w:val="2"/>
          <w:rFonts w:eastAsia="Calibri"/>
          <w:bCs/>
          <w:sz w:val="24"/>
        </w:rPr>
      </w:pPr>
      <w:r>
        <w:rPr>
          <w:rStyle w:val="2"/>
          <w:rFonts w:eastAsia="Calibri"/>
          <w:bCs/>
          <w:sz w:val="24"/>
        </w:rPr>
        <w:t xml:space="preserve">Всасывание из желудочно-кишечного тракта (ЖКТ) – вариабельно, составляет 70-80% дозы и зависит от моторики ЖКТ, лекарственной формы, сопутствующего приема пищи, от взаимодействия с другими лекарственными средствами. </w:t>
      </w:r>
      <w:proofErr w:type="spellStart"/>
      <w:r>
        <w:rPr>
          <w:rStyle w:val="2"/>
          <w:rFonts w:eastAsia="Calibri"/>
          <w:bCs/>
          <w:sz w:val="24"/>
        </w:rPr>
        <w:t>Биодоступность</w:t>
      </w:r>
      <w:proofErr w:type="spellEnd"/>
      <w:r>
        <w:rPr>
          <w:rStyle w:val="2"/>
          <w:rFonts w:eastAsia="Calibri"/>
          <w:bCs/>
          <w:sz w:val="24"/>
        </w:rPr>
        <w:t xml:space="preserve"> 60-80%. При нормальной кислотности желудочного сока разрушается незначительное количество </w:t>
      </w:r>
      <w:proofErr w:type="spellStart"/>
      <w:r>
        <w:rPr>
          <w:rStyle w:val="2"/>
          <w:rFonts w:eastAsia="Calibri"/>
          <w:bCs/>
          <w:sz w:val="24"/>
        </w:rPr>
        <w:t>дигоксина</w:t>
      </w:r>
      <w:proofErr w:type="spellEnd"/>
      <w:r>
        <w:rPr>
          <w:rStyle w:val="2"/>
          <w:rFonts w:eastAsia="Calibri"/>
          <w:bCs/>
          <w:sz w:val="24"/>
        </w:rPr>
        <w:t xml:space="preserve">, при </w:t>
      </w:r>
      <w:proofErr w:type="spellStart"/>
      <w:r>
        <w:rPr>
          <w:rStyle w:val="2"/>
          <w:rFonts w:eastAsia="Calibri"/>
          <w:bCs/>
          <w:sz w:val="24"/>
        </w:rPr>
        <w:t>гиперацидных</w:t>
      </w:r>
      <w:proofErr w:type="spellEnd"/>
      <w:r>
        <w:rPr>
          <w:rStyle w:val="2"/>
          <w:rFonts w:eastAsia="Calibri"/>
          <w:bCs/>
          <w:sz w:val="24"/>
        </w:rPr>
        <w:t xml:space="preserve"> состояниях может разрушаться большее его количество. Для полной абсорбции требуется достаточная экспозиция в кишечнике</w:t>
      </w:r>
      <w:r w:rsidRPr="00BE4872">
        <w:rPr>
          <w:rStyle w:val="2"/>
          <w:rFonts w:eastAsia="Calibri"/>
          <w:bCs/>
          <w:sz w:val="24"/>
        </w:rPr>
        <w:t>:</w:t>
      </w:r>
      <w:r>
        <w:rPr>
          <w:rStyle w:val="2"/>
          <w:rFonts w:eastAsia="Calibri"/>
          <w:bCs/>
          <w:sz w:val="24"/>
        </w:rPr>
        <w:t xml:space="preserve"> при снижении моторики ЖКТ </w:t>
      </w:r>
      <w:proofErr w:type="spellStart"/>
      <w:r>
        <w:rPr>
          <w:rStyle w:val="2"/>
          <w:rFonts w:eastAsia="Calibri"/>
          <w:bCs/>
          <w:sz w:val="24"/>
        </w:rPr>
        <w:t>биодоступность</w:t>
      </w:r>
      <w:proofErr w:type="spellEnd"/>
      <w:r>
        <w:rPr>
          <w:rStyle w:val="2"/>
          <w:rFonts w:eastAsia="Calibri"/>
          <w:bCs/>
          <w:sz w:val="24"/>
        </w:rPr>
        <w:t xml:space="preserve"> максимальная, при усиленной перистальтике – минимальная. Способность накапливаться в тканях (</w:t>
      </w:r>
      <w:proofErr w:type="spellStart"/>
      <w:r>
        <w:rPr>
          <w:rStyle w:val="2"/>
          <w:rFonts w:eastAsia="Calibri"/>
          <w:bCs/>
          <w:sz w:val="24"/>
        </w:rPr>
        <w:t>кумулировать</w:t>
      </w:r>
      <w:proofErr w:type="spellEnd"/>
      <w:r>
        <w:rPr>
          <w:rStyle w:val="2"/>
          <w:rFonts w:eastAsia="Calibri"/>
          <w:bCs/>
          <w:sz w:val="24"/>
        </w:rPr>
        <w:t xml:space="preserve">) объясняет отсутствие корреляции в начале лечения между выраженностью фармакодинамического эффекта и концентрации его в плазме крови. Максимальная концентрация </w:t>
      </w:r>
      <w:proofErr w:type="spellStart"/>
      <w:r>
        <w:rPr>
          <w:rStyle w:val="2"/>
          <w:rFonts w:eastAsia="Calibri"/>
          <w:bCs/>
          <w:sz w:val="24"/>
        </w:rPr>
        <w:t>дигоксина</w:t>
      </w:r>
      <w:proofErr w:type="spellEnd"/>
      <w:r>
        <w:rPr>
          <w:rStyle w:val="2"/>
          <w:rFonts w:eastAsia="Calibri"/>
          <w:bCs/>
          <w:sz w:val="24"/>
        </w:rPr>
        <w:t xml:space="preserve"> в плазме крови достигается через 1-2 часа. Связь с белками плазмы крови составляет 25%. </w:t>
      </w:r>
      <w:r w:rsidR="00872521">
        <w:rPr>
          <w:rStyle w:val="2"/>
          <w:rFonts w:eastAsia="Calibri"/>
          <w:bCs/>
          <w:sz w:val="24"/>
        </w:rPr>
        <w:t xml:space="preserve">   </w:t>
      </w:r>
      <w:r>
        <w:rPr>
          <w:rStyle w:val="2"/>
          <w:rFonts w:eastAsia="Calibri"/>
          <w:bCs/>
          <w:sz w:val="24"/>
        </w:rPr>
        <w:t>Относительный объем распределения – 5 л</w:t>
      </w:r>
      <w:r w:rsidRPr="00BE4872">
        <w:rPr>
          <w:rStyle w:val="2"/>
          <w:rFonts w:eastAsia="Calibri"/>
          <w:bCs/>
          <w:sz w:val="24"/>
        </w:rPr>
        <w:t>/</w:t>
      </w:r>
      <w:r>
        <w:rPr>
          <w:rStyle w:val="2"/>
          <w:rFonts w:eastAsia="Calibri"/>
          <w:bCs/>
          <w:sz w:val="24"/>
        </w:rPr>
        <w:t xml:space="preserve">кг. </w:t>
      </w:r>
      <w:proofErr w:type="spellStart"/>
      <w:r>
        <w:rPr>
          <w:rStyle w:val="2"/>
          <w:rFonts w:eastAsia="Calibri"/>
          <w:bCs/>
          <w:sz w:val="24"/>
        </w:rPr>
        <w:t>Метаболизируется</w:t>
      </w:r>
      <w:proofErr w:type="spellEnd"/>
      <w:r>
        <w:rPr>
          <w:rStyle w:val="2"/>
          <w:rFonts w:eastAsia="Calibri"/>
          <w:bCs/>
          <w:sz w:val="24"/>
        </w:rPr>
        <w:t xml:space="preserve"> в печени. </w:t>
      </w:r>
      <w:proofErr w:type="spellStart"/>
      <w:r>
        <w:rPr>
          <w:rStyle w:val="2"/>
          <w:rFonts w:eastAsia="Calibri"/>
          <w:bCs/>
          <w:sz w:val="24"/>
        </w:rPr>
        <w:t>Дигоксин</w:t>
      </w:r>
      <w:proofErr w:type="spellEnd"/>
      <w:r>
        <w:rPr>
          <w:rStyle w:val="2"/>
          <w:rFonts w:eastAsia="Calibri"/>
          <w:bCs/>
          <w:sz w:val="24"/>
        </w:rPr>
        <w:t xml:space="preserve"> </w:t>
      </w:r>
      <w:r>
        <w:rPr>
          <w:rStyle w:val="2"/>
          <w:rFonts w:eastAsia="Calibri"/>
          <w:bCs/>
          <w:sz w:val="24"/>
        </w:rPr>
        <w:lastRenderedPageBreak/>
        <w:t xml:space="preserve">выводится преимущественно почками (60-80% в неизмененном виде). Период полувыведения составляет около 40 ч. Выведение и период полувыведения определяется функцией почек. Интенсивность почечного выведения определяется величиной </w:t>
      </w:r>
      <w:proofErr w:type="spellStart"/>
      <w:r>
        <w:rPr>
          <w:rStyle w:val="2"/>
          <w:rFonts w:eastAsia="Calibri"/>
          <w:bCs/>
          <w:sz w:val="24"/>
        </w:rPr>
        <w:t>гломерулярной</w:t>
      </w:r>
      <w:proofErr w:type="spellEnd"/>
      <w:r>
        <w:rPr>
          <w:rStyle w:val="2"/>
          <w:rFonts w:eastAsia="Calibri"/>
          <w:bCs/>
          <w:sz w:val="24"/>
        </w:rPr>
        <w:t xml:space="preserve"> фильтрации. При незначительной хронической почечной недостаточности снижение почечного выведения </w:t>
      </w:r>
      <w:proofErr w:type="spellStart"/>
      <w:r>
        <w:rPr>
          <w:rStyle w:val="2"/>
          <w:rFonts w:eastAsia="Calibri"/>
          <w:bCs/>
          <w:sz w:val="24"/>
        </w:rPr>
        <w:t>дигоксина</w:t>
      </w:r>
      <w:proofErr w:type="spellEnd"/>
      <w:r>
        <w:rPr>
          <w:rStyle w:val="2"/>
          <w:rFonts w:eastAsia="Calibri"/>
          <w:bCs/>
          <w:sz w:val="24"/>
        </w:rPr>
        <w:t xml:space="preserve"> компенсируется за счет печеночного метаболизма </w:t>
      </w:r>
      <w:proofErr w:type="spellStart"/>
      <w:r>
        <w:rPr>
          <w:rStyle w:val="2"/>
          <w:rFonts w:eastAsia="Calibri"/>
          <w:bCs/>
          <w:sz w:val="24"/>
        </w:rPr>
        <w:t>дигоксина</w:t>
      </w:r>
      <w:proofErr w:type="spellEnd"/>
      <w:r>
        <w:rPr>
          <w:rStyle w:val="2"/>
          <w:rFonts w:eastAsia="Calibri"/>
          <w:bCs/>
          <w:sz w:val="24"/>
        </w:rPr>
        <w:t xml:space="preserve"> до неактивных метаболитов. При печеночной недостаточности компенсация происходит за счет усиления почечного выведения </w:t>
      </w:r>
      <w:proofErr w:type="spellStart"/>
      <w:r>
        <w:rPr>
          <w:rStyle w:val="2"/>
          <w:rFonts w:eastAsia="Calibri"/>
          <w:bCs/>
          <w:sz w:val="24"/>
        </w:rPr>
        <w:t>дигоксина</w:t>
      </w:r>
      <w:proofErr w:type="spellEnd"/>
      <w:r>
        <w:rPr>
          <w:rStyle w:val="2"/>
          <w:rFonts w:eastAsia="Calibri"/>
          <w:bCs/>
          <w:sz w:val="24"/>
        </w:rPr>
        <w:t>.</w:t>
      </w:r>
    </w:p>
    <w:p w14:paraId="679FFF4D" w14:textId="77777777" w:rsidR="006E6BD4" w:rsidRDefault="006E6BD4" w:rsidP="006E6BD4">
      <w:pPr>
        <w:pStyle w:val="a4"/>
        <w:ind w:right="28"/>
        <w:jc w:val="both"/>
        <w:rPr>
          <w:rStyle w:val="2"/>
          <w:rFonts w:eastAsia="Calibri"/>
          <w:b/>
          <w:bCs/>
          <w:sz w:val="24"/>
        </w:rPr>
      </w:pPr>
      <w:r>
        <w:rPr>
          <w:rStyle w:val="2"/>
          <w:rFonts w:eastAsia="Calibri"/>
          <w:b/>
          <w:bCs/>
          <w:sz w:val="24"/>
        </w:rPr>
        <w:t>Показания к применению</w:t>
      </w:r>
    </w:p>
    <w:p w14:paraId="00121115" w14:textId="77777777" w:rsidR="006E6BD4" w:rsidRPr="002329AE" w:rsidRDefault="00BE4872" w:rsidP="006E6BD4">
      <w:pPr>
        <w:pStyle w:val="a4"/>
        <w:ind w:right="28"/>
        <w:jc w:val="both"/>
        <w:rPr>
          <w:rStyle w:val="2"/>
          <w:rFonts w:eastAsia="Calibri"/>
          <w:bCs/>
          <w:sz w:val="24"/>
        </w:rPr>
      </w:pPr>
      <w:r>
        <w:rPr>
          <w:rStyle w:val="2"/>
          <w:rFonts w:eastAsia="Calibri"/>
          <w:bCs/>
          <w:sz w:val="24"/>
        </w:rPr>
        <w:t xml:space="preserve">В составе комплексной терапии хронической сердечной недостаточности </w:t>
      </w:r>
      <w:r>
        <w:rPr>
          <w:rStyle w:val="2"/>
          <w:rFonts w:eastAsia="Calibri"/>
          <w:bCs/>
          <w:sz w:val="24"/>
          <w:lang w:val="en-US"/>
        </w:rPr>
        <w:t>II</w:t>
      </w:r>
      <w:r w:rsidRPr="00BE4872">
        <w:rPr>
          <w:rStyle w:val="2"/>
          <w:rFonts w:eastAsia="Calibri"/>
          <w:bCs/>
          <w:sz w:val="24"/>
        </w:rPr>
        <w:t xml:space="preserve"> (</w:t>
      </w:r>
      <w:r>
        <w:rPr>
          <w:rStyle w:val="2"/>
          <w:rFonts w:eastAsia="Calibri"/>
          <w:bCs/>
          <w:sz w:val="24"/>
        </w:rPr>
        <w:t xml:space="preserve">при наличии </w:t>
      </w:r>
      <w:r w:rsidRPr="002329AE">
        <w:rPr>
          <w:rStyle w:val="2"/>
          <w:rFonts w:eastAsia="Calibri"/>
          <w:bCs/>
          <w:sz w:val="24"/>
        </w:rPr>
        <w:t xml:space="preserve">клинических проявлений) и </w:t>
      </w:r>
      <w:r w:rsidRPr="002329AE">
        <w:rPr>
          <w:rStyle w:val="2"/>
          <w:rFonts w:eastAsia="Calibri"/>
          <w:bCs/>
          <w:sz w:val="24"/>
          <w:lang w:val="en-US"/>
        </w:rPr>
        <w:t>III</w:t>
      </w:r>
      <w:r w:rsidRPr="002329AE">
        <w:rPr>
          <w:rStyle w:val="2"/>
          <w:rFonts w:eastAsia="Calibri"/>
          <w:bCs/>
          <w:sz w:val="24"/>
        </w:rPr>
        <w:t>-</w:t>
      </w:r>
      <w:r w:rsidRPr="002329AE">
        <w:rPr>
          <w:rStyle w:val="2"/>
          <w:rFonts w:eastAsia="Calibri"/>
          <w:bCs/>
          <w:sz w:val="24"/>
          <w:lang w:val="en-US"/>
        </w:rPr>
        <w:t>IV</w:t>
      </w:r>
      <w:r w:rsidRPr="002329AE">
        <w:rPr>
          <w:rStyle w:val="2"/>
          <w:rFonts w:eastAsia="Calibri"/>
          <w:bCs/>
          <w:sz w:val="24"/>
        </w:rPr>
        <w:t xml:space="preserve"> функционального класса;</w:t>
      </w:r>
    </w:p>
    <w:p w14:paraId="5025F984" w14:textId="0512AC24" w:rsidR="006E6BD4" w:rsidRPr="00BE4872" w:rsidRDefault="00BE4872" w:rsidP="006E6BD4">
      <w:pPr>
        <w:pStyle w:val="a4"/>
        <w:ind w:right="28"/>
        <w:jc w:val="both"/>
        <w:rPr>
          <w:rStyle w:val="2"/>
          <w:rFonts w:eastAsia="Calibri"/>
          <w:bCs/>
          <w:sz w:val="24"/>
        </w:rPr>
      </w:pPr>
      <w:proofErr w:type="spellStart"/>
      <w:r w:rsidRPr="002329AE">
        <w:rPr>
          <w:rStyle w:val="2"/>
          <w:rFonts w:eastAsia="Calibri"/>
          <w:bCs/>
          <w:sz w:val="24"/>
        </w:rPr>
        <w:t>тахисистолическая</w:t>
      </w:r>
      <w:proofErr w:type="spellEnd"/>
      <w:r w:rsidRPr="002329AE">
        <w:rPr>
          <w:rStyle w:val="2"/>
          <w:rFonts w:eastAsia="Calibri"/>
          <w:bCs/>
          <w:sz w:val="24"/>
        </w:rPr>
        <w:t xml:space="preserve"> форма </w:t>
      </w:r>
      <w:r w:rsidR="002C3F52" w:rsidRPr="002329AE">
        <w:rPr>
          <w:rStyle w:val="2"/>
          <w:rFonts w:eastAsia="Calibri"/>
          <w:bCs/>
          <w:sz w:val="24"/>
        </w:rPr>
        <w:t>фибрилляци</w:t>
      </w:r>
      <w:r w:rsidR="00243B1E">
        <w:rPr>
          <w:rStyle w:val="2"/>
          <w:rFonts w:eastAsia="Calibri"/>
          <w:bCs/>
          <w:sz w:val="24"/>
        </w:rPr>
        <w:t>и</w:t>
      </w:r>
      <w:r w:rsidRPr="002329AE">
        <w:rPr>
          <w:rStyle w:val="2"/>
          <w:rFonts w:eastAsia="Calibri"/>
          <w:bCs/>
          <w:sz w:val="24"/>
        </w:rPr>
        <w:t xml:space="preserve"> и трепетания предсердий пароксизмального и хронического течения (особенно в сочетании с хронической</w:t>
      </w:r>
      <w:r>
        <w:rPr>
          <w:rStyle w:val="2"/>
          <w:rFonts w:eastAsia="Calibri"/>
          <w:bCs/>
          <w:sz w:val="24"/>
        </w:rPr>
        <w:t xml:space="preserve"> сердечной недостаточностью).</w:t>
      </w:r>
    </w:p>
    <w:p w14:paraId="5BE22135" w14:textId="77777777" w:rsidR="006E6BD4" w:rsidRDefault="006E6BD4" w:rsidP="006E6BD4">
      <w:pPr>
        <w:pStyle w:val="3"/>
        <w:rPr>
          <w:b/>
          <w:bCs/>
        </w:rPr>
      </w:pPr>
      <w:bookmarkStart w:id="1" w:name="#Contrindication"/>
      <w:r>
        <w:rPr>
          <w:b/>
          <w:bCs/>
        </w:rPr>
        <w:t>Противопоказания</w:t>
      </w:r>
      <w:bookmarkEnd w:id="1"/>
    </w:p>
    <w:p w14:paraId="0D20D715" w14:textId="6C4F889B" w:rsidR="00BE4872" w:rsidRPr="00BE4872" w:rsidRDefault="00BE4872" w:rsidP="006E6BD4">
      <w:pPr>
        <w:pStyle w:val="3"/>
        <w:rPr>
          <w:bCs/>
        </w:rPr>
      </w:pPr>
      <w:bookmarkStart w:id="2" w:name="#Warning"/>
      <w:r w:rsidRPr="002329AE">
        <w:rPr>
          <w:bCs/>
        </w:rPr>
        <w:t xml:space="preserve">Повышенная чувствительность к компонентам препарата, </w:t>
      </w:r>
      <w:proofErr w:type="spellStart"/>
      <w:r w:rsidRPr="002329AE">
        <w:rPr>
          <w:bCs/>
        </w:rPr>
        <w:t>гликозидная</w:t>
      </w:r>
      <w:proofErr w:type="spellEnd"/>
      <w:r w:rsidRPr="002329AE">
        <w:rPr>
          <w:bCs/>
        </w:rPr>
        <w:t xml:space="preserve"> интоксикация, синдром Вольфа-Паркинсона-Уайта, атриовентрикулярная блокада </w:t>
      </w:r>
      <w:r w:rsidRPr="002329AE">
        <w:rPr>
          <w:bCs/>
          <w:lang w:val="en-US"/>
        </w:rPr>
        <w:t>II</w:t>
      </w:r>
      <w:r w:rsidRPr="002329AE">
        <w:rPr>
          <w:bCs/>
        </w:rPr>
        <w:t xml:space="preserve"> </w:t>
      </w:r>
      <w:proofErr w:type="gramStart"/>
      <w:r w:rsidRPr="002329AE">
        <w:rPr>
          <w:bCs/>
        </w:rPr>
        <w:t xml:space="preserve">степени, </w:t>
      </w:r>
      <w:r w:rsidR="00872521" w:rsidRPr="002329AE">
        <w:rPr>
          <w:bCs/>
        </w:rPr>
        <w:t xml:space="preserve">  </w:t>
      </w:r>
      <w:proofErr w:type="gramEnd"/>
      <w:r w:rsidR="002C3F52" w:rsidRPr="002329AE">
        <w:rPr>
          <w:bCs/>
        </w:rPr>
        <w:t>преходящ</w:t>
      </w:r>
      <w:r w:rsidR="00CC5DF4">
        <w:rPr>
          <w:bCs/>
        </w:rPr>
        <w:t>а</w:t>
      </w:r>
      <w:r w:rsidR="002C3F52" w:rsidRPr="002329AE">
        <w:rPr>
          <w:bCs/>
        </w:rPr>
        <w:t>я полная атриовентрикулярная</w:t>
      </w:r>
      <w:r w:rsidRPr="002329AE">
        <w:rPr>
          <w:bCs/>
        </w:rPr>
        <w:t xml:space="preserve"> блокада, желудочковая тахикардия и фибрилляц</w:t>
      </w:r>
      <w:r w:rsidR="002C3F52" w:rsidRPr="002329AE">
        <w:rPr>
          <w:bCs/>
        </w:rPr>
        <w:t>ия желудочков, период грудного вскармливания</w:t>
      </w:r>
      <w:r w:rsidRPr="002329AE">
        <w:rPr>
          <w:bCs/>
        </w:rPr>
        <w:t>, детский возраст до 3 лет, непереносимость фруктозы, недостаточность сахарозы/</w:t>
      </w:r>
      <w:proofErr w:type="spellStart"/>
      <w:r w:rsidRPr="002329AE">
        <w:rPr>
          <w:bCs/>
        </w:rPr>
        <w:t>изомальтазы</w:t>
      </w:r>
      <w:proofErr w:type="spellEnd"/>
      <w:r w:rsidRPr="002329AE">
        <w:rPr>
          <w:bCs/>
        </w:rPr>
        <w:t xml:space="preserve">, дефицит </w:t>
      </w:r>
      <w:proofErr w:type="spellStart"/>
      <w:r w:rsidRPr="002329AE">
        <w:rPr>
          <w:bCs/>
        </w:rPr>
        <w:t>лактазы</w:t>
      </w:r>
      <w:proofErr w:type="spellEnd"/>
      <w:r w:rsidRPr="002329AE">
        <w:rPr>
          <w:bCs/>
        </w:rPr>
        <w:t xml:space="preserve">, непереносимость лактозы, </w:t>
      </w:r>
      <w:proofErr w:type="spellStart"/>
      <w:r w:rsidRPr="002329AE">
        <w:rPr>
          <w:bCs/>
        </w:rPr>
        <w:t>глюкозо-галактозная</w:t>
      </w:r>
      <w:proofErr w:type="spellEnd"/>
      <w:r w:rsidRPr="002329AE">
        <w:rPr>
          <w:bCs/>
        </w:rPr>
        <w:t xml:space="preserve"> </w:t>
      </w:r>
      <w:proofErr w:type="spellStart"/>
      <w:r w:rsidRPr="002329AE">
        <w:rPr>
          <w:bCs/>
        </w:rPr>
        <w:t>мальабсорбция</w:t>
      </w:r>
      <w:proofErr w:type="spellEnd"/>
      <w:r w:rsidRPr="002329AE">
        <w:rPr>
          <w:bCs/>
        </w:rPr>
        <w:t>.</w:t>
      </w:r>
    </w:p>
    <w:p w14:paraId="3FE7F887" w14:textId="77777777" w:rsidR="006E6BD4" w:rsidRPr="000A0BB9" w:rsidRDefault="006E6BD4" w:rsidP="006E6BD4">
      <w:pPr>
        <w:pStyle w:val="3"/>
        <w:rPr>
          <w:b/>
          <w:iCs/>
        </w:rPr>
      </w:pPr>
      <w:r w:rsidRPr="000A0BB9">
        <w:rPr>
          <w:b/>
          <w:iCs/>
        </w:rPr>
        <w:t>С осторожностью</w:t>
      </w:r>
    </w:p>
    <w:p w14:paraId="413619DA" w14:textId="77777777" w:rsidR="006E6BD4" w:rsidRPr="002329AE" w:rsidRDefault="00106AC9" w:rsidP="00FA6E3A">
      <w:pPr>
        <w:pStyle w:val="3"/>
        <w:rPr>
          <w:iCs/>
        </w:rPr>
      </w:pPr>
      <w:r w:rsidRPr="00CC5DF4">
        <w:rPr>
          <w:iCs/>
        </w:rPr>
        <w:t>А</w:t>
      </w:r>
      <w:r w:rsidR="00164F7C" w:rsidRPr="00CC5DF4">
        <w:rPr>
          <w:iCs/>
        </w:rPr>
        <w:t>тр</w:t>
      </w:r>
      <w:r w:rsidR="00164F7C" w:rsidRPr="002329AE">
        <w:rPr>
          <w:iCs/>
        </w:rPr>
        <w:t xml:space="preserve">иовентрикулярная блокада </w:t>
      </w:r>
      <w:r w:rsidR="00164F7C" w:rsidRPr="002329AE">
        <w:rPr>
          <w:iCs/>
          <w:lang w:val="en-US"/>
        </w:rPr>
        <w:t>I</w:t>
      </w:r>
      <w:r w:rsidR="00164F7C" w:rsidRPr="002329AE">
        <w:rPr>
          <w:iCs/>
        </w:rPr>
        <w:t xml:space="preserve"> степени, синдром слабости синусового узла без </w:t>
      </w:r>
      <w:r w:rsidR="000A43AB" w:rsidRPr="002329AE">
        <w:rPr>
          <w:iCs/>
        </w:rPr>
        <w:t>электрокардиостимулятора</w:t>
      </w:r>
      <w:r w:rsidR="00164F7C" w:rsidRPr="002329AE">
        <w:rPr>
          <w:iCs/>
        </w:rPr>
        <w:t xml:space="preserve">, вероятность нестабильного проведения по атриовентрикулярному узлу, указания в анамнезе на приступы </w:t>
      </w:r>
      <w:proofErr w:type="spellStart"/>
      <w:r w:rsidR="00164F7C" w:rsidRPr="002329AE">
        <w:rPr>
          <w:iCs/>
        </w:rPr>
        <w:t>Морганьи</w:t>
      </w:r>
      <w:proofErr w:type="spellEnd"/>
      <w:r w:rsidR="00164F7C" w:rsidRPr="002329AE">
        <w:rPr>
          <w:iCs/>
        </w:rPr>
        <w:t xml:space="preserve">-Адамса-Стокса, гипертрофический </w:t>
      </w:r>
      <w:proofErr w:type="spellStart"/>
      <w:r w:rsidR="00164F7C" w:rsidRPr="002329AE">
        <w:rPr>
          <w:iCs/>
        </w:rPr>
        <w:t>обструктивный</w:t>
      </w:r>
      <w:proofErr w:type="spellEnd"/>
      <w:r w:rsidR="00164F7C" w:rsidRPr="002329AE">
        <w:rPr>
          <w:iCs/>
        </w:rPr>
        <w:t xml:space="preserve"> </w:t>
      </w:r>
      <w:proofErr w:type="spellStart"/>
      <w:r w:rsidR="00164F7C" w:rsidRPr="002329AE">
        <w:rPr>
          <w:iCs/>
        </w:rPr>
        <w:t>субаортальный</w:t>
      </w:r>
      <w:proofErr w:type="spellEnd"/>
      <w:r w:rsidR="00164F7C" w:rsidRPr="002329AE">
        <w:rPr>
          <w:iCs/>
        </w:rPr>
        <w:t xml:space="preserve"> стеноз, изолированный митральный стеноз с редкой частотой сердечных сокращений, сердечная астма у пациентов с митральным стенозом (при отсутствии </w:t>
      </w:r>
      <w:proofErr w:type="spellStart"/>
      <w:r w:rsidR="002C3F52" w:rsidRPr="002329AE">
        <w:rPr>
          <w:iCs/>
        </w:rPr>
        <w:t>тахисистолической</w:t>
      </w:r>
      <w:proofErr w:type="spellEnd"/>
      <w:r w:rsidR="002C3F52" w:rsidRPr="002329AE">
        <w:rPr>
          <w:iCs/>
        </w:rPr>
        <w:t xml:space="preserve"> фибрилляции предсердий</w:t>
      </w:r>
      <w:r w:rsidR="00164F7C" w:rsidRPr="002329AE">
        <w:rPr>
          <w:iCs/>
        </w:rPr>
        <w:t>), острый инфаркт миокарда, нестабильная стенокардия, артериовенозный шунт, гипоксия, сердечная недостаточность с нарушением диастолической функции (</w:t>
      </w:r>
      <w:proofErr w:type="spellStart"/>
      <w:r w:rsidR="00164F7C" w:rsidRPr="002329AE">
        <w:rPr>
          <w:iCs/>
        </w:rPr>
        <w:t>рестриктивная</w:t>
      </w:r>
      <w:proofErr w:type="spellEnd"/>
      <w:r w:rsidR="00164F7C" w:rsidRPr="002329AE">
        <w:rPr>
          <w:iCs/>
        </w:rPr>
        <w:t xml:space="preserve"> </w:t>
      </w:r>
      <w:proofErr w:type="spellStart"/>
      <w:r w:rsidR="00164F7C" w:rsidRPr="002329AE">
        <w:rPr>
          <w:iCs/>
        </w:rPr>
        <w:t>кардиомиопатия</w:t>
      </w:r>
      <w:proofErr w:type="spellEnd"/>
      <w:r w:rsidR="00164F7C" w:rsidRPr="002329AE">
        <w:rPr>
          <w:iCs/>
        </w:rPr>
        <w:t xml:space="preserve">, амилоидоз сердца, </w:t>
      </w:r>
      <w:proofErr w:type="spellStart"/>
      <w:r w:rsidR="00164F7C" w:rsidRPr="002329AE">
        <w:rPr>
          <w:iCs/>
        </w:rPr>
        <w:t>констриктивный</w:t>
      </w:r>
      <w:proofErr w:type="spellEnd"/>
      <w:r w:rsidR="00164F7C" w:rsidRPr="002329AE">
        <w:rPr>
          <w:iCs/>
        </w:rPr>
        <w:t xml:space="preserve"> перикардит, тампонада сердца), экстрасистолия, выраженная дилатация полостей сердца, “легочное” сердце.</w:t>
      </w:r>
    </w:p>
    <w:p w14:paraId="538A8C9F" w14:textId="77777777" w:rsidR="0093164B" w:rsidRPr="00164F7C" w:rsidRDefault="00164F7C" w:rsidP="006E6BD4">
      <w:pPr>
        <w:pStyle w:val="3"/>
        <w:rPr>
          <w:iCs/>
        </w:rPr>
      </w:pPr>
      <w:r w:rsidRPr="002329AE">
        <w:rPr>
          <w:iCs/>
        </w:rPr>
        <w:t xml:space="preserve">Водно-электролитные нарушения: </w:t>
      </w:r>
      <w:proofErr w:type="spellStart"/>
      <w:r w:rsidRPr="002329AE">
        <w:rPr>
          <w:iCs/>
        </w:rPr>
        <w:t>гипокалиемия</w:t>
      </w:r>
      <w:proofErr w:type="spellEnd"/>
      <w:r w:rsidRPr="002329AE">
        <w:rPr>
          <w:iCs/>
        </w:rPr>
        <w:t xml:space="preserve">, </w:t>
      </w:r>
      <w:proofErr w:type="spellStart"/>
      <w:r w:rsidRPr="002329AE">
        <w:rPr>
          <w:iCs/>
        </w:rPr>
        <w:t>гипома</w:t>
      </w:r>
      <w:r w:rsidR="001B7EDD" w:rsidRPr="002329AE">
        <w:rPr>
          <w:iCs/>
        </w:rPr>
        <w:t>гниемия</w:t>
      </w:r>
      <w:proofErr w:type="spellEnd"/>
      <w:r w:rsidR="001B7EDD" w:rsidRPr="002329AE">
        <w:rPr>
          <w:iCs/>
        </w:rPr>
        <w:t xml:space="preserve">, </w:t>
      </w:r>
      <w:proofErr w:type="spellStart"/>
      <w:r w:rsidR="001B7EDD" w:rsidRPr="002329AE">
        <w:rPr>
          <w:iCs/>
        </w:rPr>
        <w:t>гиперкальциемия</w:t>
      </w:r>
      <w:proofErr w:type="spellEnd"/>
      <w:r w:rsidR="001B7EDD" w:rsidRPr="002329AE">
        <w:rPr>
          <w:iCs/>
        </w:rPr>
        <w:t xml:space="preserve">, </w:t>
      </w:r>
      <w:proofErr w:type="spellStart"/>
      <w:r w:rsidR="001B7EDD" w:rsidRPr="002329AE">
        <w:rPr>
          <w:iCs/>
        </w:rPr>
        <w:t>гипер</w:t>
      </w:r>
      <w:r w:rsidRPr="002329AE">
        <w:rPr>
          <w:iCs/>
        </w:rPr>
        <w:t>натриемия</w:t>
      </w:r>
      <w:proofErr w:type="spellEnd"/>
      <w:r w:rsidRPr="002329AE">
        <w:rPr>
          <w:iCs/>
        </w:rPr>
        <w:t>. Гипотиреоз, алкалоз, миокардит, пожилой возраст, почечно-печеночная недостаточность, ожирение, сахарный диабет (в состав препарата входит сахароза</w:t>
      </w:r>
      <w:r>
        <w:rPr>
          <w:iCs/>
        </w:rPr>
        <w:t xml:space="preserve"> и</w:t>
      </w:r>
      <w:r w:rsidR="002C3F52">
        <w:rPr>
          <w:iCs/>
        </w:rPr>
        <w:t xml:space="preserve"> глюкоза (декстрозы моногидрат)</w:t>
      </w:r>
      <w:r w:rsidR="000A43AB">
        <w:rPr>
          <w:iCs/>
        </w:rPr>
        <w:t>, беременность.</w:t>
      </w:r>
    </w:p>
    <w:p w14:paraId="05419418" w14:textId="77777777" w:rsidR="006E6BD4" w:rsidRDefault="006E6BD4" w:rsidP="006E6BD4">
      <w:pPr>
        <w:pStyle w:val="3"/>
        <w:rPr>
          <w:b/>
          <w:bCs/>
        </w:rPr>
      </w:pPr>
    </w:p>
    <w:bookmarkEnd w:id="2"/>
    <w:p w14:paraId="3FDB1883" w14:textId="77777777" w:rsidR="006E6BD4" w:rsidRDefault="006E6BD4" w:rsidP="006E6BD4">
      <w:pPr>
        <w:pStyle w:val="3"/>
        <w:rPr>
          <w:b/>
          <w:bCs/>
          <w:snapToGrid w:val="0"/>
          <w:lang w:eastAsia="ru-RU"/>
        </w:rPr>
      </w:pPr>
      <w:r>
        <w:rPr>
          <w:b/>
          <w:bCs/>
          <w:snapToGrid w:val="0"/>
          <w:lang w:eastAsia="ru-RU"/>
        </w:rPr>
        <w:lastRenderedPageBreak/>
        <w:t xml:space="preserve">Применение </w:t>
      </w:r>
      <w:r w:rsidRPr="00260D9A">
        <w:rPr>
          <w:b/>
          <w:bCs/>
          <w:snapToGrid w:val="0"/>
          <w:lang w:eastAsia="ru-RU"/>
        </w:rPr>
        <w:t>во время</w:t>
      </w:r>
      <w:r>
        <w:rPr>
          <w:b/>
          <w:bCs/>
          <w:snapToGrid w:val="0"/>
          <w:lang w:eastAsia="ru-RU"/>
        </w:rPr>
        <w:t xml:space="preserve"> беременности и в период грудного вскармливания</w:t>
      </w:r>
    </w:p>
    <w:p w14:paraId="5348317B" w14:textId="77777777" w:rsidR="00164F7C" w:rsidRPr="0093164B" w:rsidRDefault="00164F7C" w:rsidP="006E6BD4">
      <w:pPr>
        <w:pStyle w:val="3"/>
        <w:rPr>
          <w:bCs/>
          <w:lang w:eastAsia="ru-RU"/>
        </w:rPr>
      </w:pPr>
      <w:r>
        <w:rPr>
          <w:bCs/>
          <w:lang w:eastAsia="ru-RU"/>
        </w:rPr>
        <w:t xml:space="preserve">Препараты наперстянки проникают через плаценту. </w:t>
      </w:r>
      <w:proofErr w:type="spellStart"/>
      <w:r>
        <w:rPr>
          <w:bCs/>
          <w:lang w:eastAsia="ru-RU"/>
        </w:rPr>
        <w:t>Дигоксин</w:t>
      </w:r>
      <w:proofErr w:type="spellEnd"/>
      <w:r>
        <w:rPr>
          <w:bCs/>
          <w:lang w:eastAsia="ru-RU"/>
        </w:rPr>
        <w:t xml:space="preserve"> по безопасности его применения относится к категории </w:t>
      </w:r>
      <w:r w:rsidRPr="00164F7C">
        <w:rPr>
          <w:bCs/>
          <w:lang w:eastAsia="ru-RU"/>
        </w:rPr>
        <w:t>“</w:t>
      </w:r>
      <w:r>
        <w:rPr>
          <w:bCs/>
          <w:lang w:eastAsia="ru-RU"/>
        </w:rPr>
        <w:t>С</w:t>
      </w:r>
      <w:r w:rsidRPr="00164F7C">
        <w:rPr>
          <w:bCs/>
          <w:lang w:eastAsia="ru-RU"/>
        </w:rPr>
        <w:t>” (</w:t>
      </w:r>
      <w:r>
        <w:rPr>
          <w:bCs/>
          <w:lang w:eastAsia="ru-RU"/>
        </w:rPr>
        <w:t xml:space="preserve">риск при применении не исключается). Исследования у беременных женщин недостаточны, назначение препарата возможно только в том случае, когда предполагаемая польза для матери превышает потенциальный риск для плода. </w:t>
      </w:r>
      <w:proofErr w:type="spellStart"/>
      <w:r>
        <w:rPr>
          <w:bCs/>
          <w:lang w:eastAsia="ru-RU"/>
        </w:rPr>
        <w:t>Дигоксин</w:t>
      </w:r>
      <w:proofErr w:type="spellEnd"/>
      <w:r>
        <w:rPr>
          <w:bCs/>
          <w:lang w:eastAsia="ru-RU"/>
        </w:rPr>
        <w:t xml:space="preserve"> выделяется в молоко матери. Поскольку нет данных о вызываемом препаратом воздействии на новорожденного при кормлении грудью, при необходимости его применения в период лактации следует решить вопрос об отмене грудного вскармливания.</w:t>
      </w:r>
    </w:p>
    <w:p w14:paraId="139F1800" w14:textId="77777777" w:rsidR="006E6BD4" w:rsidRDefault="006E6BD4" w:rsidP="006E6BD4">
      <w:pPr>
        <w:pStyle w:val="3"/>
        <w:rPr>
          <w:b/>
          <w:bCs/>
          <w:lang w:eastAsia="ru-RU"/>
        </w:rPr>
      </w:pPr>
      <w:r>
        <w:rPr>
          <w:b/>
          <w:bCs/>
          <w:lang w:eastAsia="ru-RU"/>
        </w:rPr>
        <w:t>Способ применения и дозы</w:t>
      </w:r>
    </w:p>
    <w:p w14:paraId="59686315" w14:textId="77777777" w:rsidR="006E6BD4" w:rsidRDefault="00164F7C" w:rsidP="006E6BD4">
      <w:pPr>
        <w:pStyle w:val="3"/>
        <w:ind w:right="-106"/>
      </w:pPr>
      <w:r>
        <w:t>Внутрь.</w:t>
      </w:r>
    </w:p>
    <w:p w14:paraId="14AE077B" w14:textId="77777777" w:rsidR="00164F7C" w:rsidRDefault="00164F7C" w:rsidP="006E6BD4">
      <w:pPr>
        <w:pStyle w:val="3"/>
        <w:ind w:right="-106"/>
      </w:pPr>
      <w:r>
        <w:t>Как и для всех сердечных гликозидов, дозу следует подбирать с осторожностью, индивидуально для каждого пациента.</w:t>
      </w:r>
    </w:p>
    <w:p w14:paraId="7361ADE8" w14:textId="68E8F881" w:rsidR="00164F7C" w:rsidRDefault="00164F7C" w:rsidP="006E6BD4">
      <w:pPr>
        <w:pStyle w:val="3"/>
        <w:ind w:right="-106"/>
      </w:pPr>
      <w:r>
        <w:t xml:space="preserve">Если пациент перед назначением </w:t>
      </w:r>
      <w:proofErr w:type="spellStart"/>
      <w:r w:rsidR="00182037">
        <w:t>д</w:t>
      </w:r>
      <w:r>
        <w:t>игоксина</w:t>
      </w:r>
      <w:proofErr w:type="spellEnd"/>
      <w:r>
        <w:t xml:space="preserve"> принимал сердечные гликозиды, в этом случае дозу препарата необходимо уменьшить.</w:t>
      </w:r>
    </w:p>
    <w:p w14:paraId="05598E47" w14:textId="77777777" w:rsidR="00164F7C" w:rsidRPr="00164F7C" w:rsidRDefault="00164F7C" w:rsidP="006E6BD4">
      <w:pPr>
        <w:pStyle w:val="3"/>
        <w:ind w:right="-106"/>
        <w:rPr>
          <w:b/>
        </w:rPr>
      </w:pPr>
      <w:r w:rsidRPr="00164F7C">
        <w:rPr>
          <w:b/>
        </w:rPr>
        <w:t>Взрослые и дети старше 10 лет</w:t>
      </w:r>
    </w:p>
    <w:p w14:paraId="57B3E9F9" w14:textId="77777777" w:rsidR="006E6BD4" w:rsidRDefault="00164F7C" w:rsidP="006E6BD4">
      <w:pPr>
        <w:pStyle w:val="3"/>
        <w:ind w:right="-106"/>
      </w:pPr>
      <w:r>
        <w:t xml:space="preserve">Доза </w:t>
      </w:r>
      <w:proofErr w:type="spellStart"/>
      <w:r>
        <w:t>Дигоксина</w:t>
      </w:r>
      <w:proofErr w:type="spellEnd"/>
      <w:r>
        <w:t xml:space="preserve"> зависит от необходимости быстрого достижения </w:t>
      </w:r>
      <w:proofErr w:type="gramStart"/>
      <w:r>
        <w:t xml:space="preserve">терапевтического </w:t>
      </w:r>
      <w:r w:rsidR="00872521">
        <w:t xml:space="preserve"> </w:t>
      </w:r>
      <w:r>
        <w:t>эффекта</w:t>
      </w:r>
      <w:proofErr w:type="gramEnd"/>
      <w:r>
        <w:t>.</w:t>
      </w:r>
    </w:p>
    <w:p w14:paraId="2C23C76E" w14:textId="77777777" w:rsidR="00164F7C" w:rsidRDefault="00164F7C" w:rsidP="006E6BD4">
      <w:pPr>
        <w:pStyle w:val="3"/>
        <w:ind w:right="-106"/>
        <w:rPr>
          <w:b/>
          <w:i/>
        </w:rPr>
      </w:pPr>
      <w:r w:rsidRPr="00164F7C">
        <w:rPr>
          <w:b/>
          <w:i/>
        </w:rPr>
        <w:t xml:space="preserve">Умеренно быстрая </w:t>
      </w:r>
      <w:proofErr w:type="spellStart"/>
      <w:r w:rsidRPr="00164F7C">
        <w:rPr>
          <w:b/>
          <w:i/>
        </w:rPr>
        <w:t>дигитализация</w:t>
      </w:r>
      <w:proofErr w:type="spellEnd"/>
      <w:r w:rsidRPr="00164F7C">
        <w:rPr>
          <w:b/>
          <w:i/>
        </w:rPr>
        <w:t xml:space="preserve"> (24-36 ч) применяется в экстренных случаях</w:t>
      </w:r>
    </w:p>
    <w:p w14:paraId="73A695DC" w14:textId="77777777" w:rsidR="00164F7C" w:rsidRDefault="00164F7C" w:rsidP="006E6BD4">
      <w:pPr>
        <w:pStyle w:val="3"/>
        <w:ind w:right="-106"/>
      </w:pPr>
      <w:r>
        <w:t>Суточная доза 0,75-1,25 мг, разделенная на 2 приема</w:t>
      </w:r>
      <w:r w:rsidR="00A90163">
        <w:t xml:space="preserve"> под контролем ЭКГ перед каждой последующей дозой.</w:t>
      </w:r>
    </w:p>
    <w:p w14:paraId="58CFFD06" w14:textId="77777777" w:rsidR="00A90163" w:rsidRDefault="00A90163" w:rsidP="006E6BD4">
      <w:pPr>
        <w:pStyle w:val="3"/>
        <w:ind w:right="-106"/>
      </w:pPr>
      <w:r>
        <w:t>После достижения насыщения переходят на поддерживающее лечение.</w:t>
      </w:r>
    </w:p>
    <w:p w14:paraId="3E2AC2CB" w14:textId="77777777" w:rsidR="00A90163" w:rsidRPr="00A90163" w:rsidRDefault="00A90163" w:rsidP="006E6BD4">
      <w:pPr>
        <w:pStyle w:val="3"/>
        <w:ind w:right="-106"/>
        <w:rPr>
          <w:b/>
          <w:i/>
        </w:rPr>
      </w:pPr>
      <w:r w:rsidRPr="00A90163">
        <w:rPr>
          <w:b/>
          <w:i/>
        </w:rPr>
        <w:t xml:space="preserve">Медленная </w:t>
      </w:r>
      <w:proofErr w:type="spellStart"/>
      <w:r w:rsidRPr="00A90163">
        <w:rPr>
          <w:b/>
          <w:i/>
        </w:rPr>
        <w:t>дигитализация</w:t>
      </w:r>
      <w:proofErr w:type="spellEnd"/>
      <w:r w:rsidRPr="00A90163">
        <w:rPr>
          <w:b/>
          <w:i/>
        </w:rPr>
        <w:t xml:space="preserve"> (5-7 дней)</w:t>
      </w:r>
    </w:p>
    <w:p w14:paraId="097FCA01" w14:textId="77777777" w:rsidR="00A90163" w:rsidRDefault="00A90163" w:rsidP="006E6BD4">
      <w:pPr>
        <w:pStyle w:val="3"/>
        <w:ind w:right="-106"/>
      </w:pPr>
      <w:r>
        <w:t>Суточная доза 0,125 – 0,5 мг назначается 1 раз в сутки в течение 5-7дней (до достижения насыщения), после чего переходят на поддерживающее лечение.</w:t>
      </w:r>
    </w:p>
    <w:p w14:paraId="06753D31" w14:textId="77777777" w:rsidR="00A90163" w:rsidRDefault="00A90163" w:rsidP="006E6BD4">
      <w:pPr>
        <w:pStyle w:val="3"/>
        <w:ind w:right="-106"/>
        <w:rPr>
          <w:b/>
          <w:i/>
        </w:rPr>
      </w:pPr>
      <w:r w:rsidRPr="00A90163">
        <w:rPr>
          <w:b/>
          <w:i/>
        </w:rPr>
        <w:t>Хроническая сердечная недостаточность (ХСН)</w:t>
      </w:r>
    </w:p>
    <w:p w14:paraId="5AB93673" w14:textId="15D306F8" w:rsidR="00A90163" w:rsidRDefault="00182037" w:rsidP="006E6BD4">
      <w:pPr>
        <w:pStyle w:val="3"/>
        <w:ind w:right="-106"/>
      </w:pPr>
      <w:r>
        <w:t xml:space="preserve">У пациентов с ХСН </w:t>
      </w:r>
      <w:proofErr w:type="spellStart"/>
      <w:r>
        <w:t>д</w:t>
      </w:r>
      <w:r w:rsidR="00A90163">
        <w:t>игоксин</w:t>
      </w:r>
      <w:proofErr w:type="spellEnd"/>
      <w:r w:rsidR="00A90163">
        <w:t xml:space="preserve"> должен применяться в малых дозах</w:t>
      </w:r>
      <w:r w:rsidR="00A90163" w:rsidRPr="00A90163">
        <w:t>:</w:t>
      </w:r>
      <w:r w:rsidR="00A90163">
        <w:t xml:space="preserve"> до 0,25 мг в сутки (для пациентов с массой тела более 85 кг до 0,375 мг в сутки). У пациентов пожилого возраста суточная доза снижена до 0,0625 – 0,125 мг (</w:t>
      </w:r>
      <w:r w:rsidR="00B8494D">
        <w:t xml:space="preserve">1/4 – 1/2 </w:t>
      </w:r>
      <w:r w:rsidR="00A90163">
        <w:t>таблетки).</w:t>
      </w:r>
    </w:p>
    <w:p w14:paraId="0E6AB5B8" w14:textId="77777777" w:rsidR="00A90163" w:rsidRPr="00A90163" w:rsidRDefault="00A90163" w:rsidP="006E6BD4">
      <w:pPr>
        <w:pStyle w:val="3"/>
        <w:ind w:right="-106"/>
        <w:rPr>
          <w:b/>
        </w:rPr>
      </w:pPr>
      <w:r w:rsidRPr="00A90163">
        <w:rPr>
          <w:b/>
        </w:rPr>
        <w:t>Дети в возрасте от 3-х до 10 лет</w:t>
      </w:r>
    </w:p>
    <w:p w14:paraId="2ECA0273" w14:textId="0E4EB4F4" w:rsidR="00A90163" w:rsidRDefault="00A90163" w:rsidP="006E6BD4">
      <w:pPr>
        <w:pStyle w:val="3"/>
        <w:ind w:right="-106"/>
      </w:pPr>
      <w:r>
        <w:t>Насыщающая доза для детей составляет 0,05-0,08 мг</w:t>
      </w:r>
      <w:r w:rsidRPr="00A90163">
        <w:t>/</w:t>
      </w:r>
      <w:r>
        <w:t>кг</w:t>
      </w:r>
      <w:r w:rsidRPr="00A90163">
        <w:t>/</w:t>
      </w:r>
      <w:proofErr w:type="spellStart"/>
      <w:r>
        <w:t>сут</w:t>
      </w:r>
      <w:proofErr w:type="spellEnd"/>
      <w:r w:rsidRPr="00A90163">
        <w:t>;</w:t>
      </w:r>
      <w:r>
        <w:t xml:space="preserve"> эту дозу назначают в течение </w:t>
      </w:r>
      <w:r w:rsidR="00182037">
        <w:br/>
      </w:r>
      <w:r>
        <w:t xml:space="preserve">3-5 дней при умеренно быстрой </w:t>
      </w:r>
      <w:proofErr w:type="spellStart"/>
      <w:r>
        <w:t>дигитализации</w:t>
      </w:r>
      <w:proofErr w:type="spellEnd"/>
      <w:r>
        <w:t xml:space="preserve"> или в течение 6-7 дней при медленной </w:t>
      </w:r>
      <w:proofErr w:type="spellStart"/>
      <w:r>
        <w:t>дигитализации</w:t>
      </w:r>
      <w:proofErr w:type="spellEnd"/>
      <w:r>
        <w:t>. Поддерживающая доза для детей составляет 0,01-0,025 мг</w:t>
      </w:r>
      <w:r w:rsidRPr="00A90163">
        <w:t>/</w:t>
      </w:r>
      <w:r>
        <w:t>кг</w:t>
      </w:r>
      <w:r w:rsidRPr="00A90163">
        <w:t>/</w:t>
      </w:r>
      <w:proofErr w:type="spellStart"/>
      <w:r>
        <w:t>сут</w:t>
      </w:r>
      <w:proofErr w:type="spellEnd"/>
      <w:r>
        <w:t>.</w:t>
      </w:r>
    </w:p>
    <w:p w14:paraId="16CCCEDF" w14:textId="77777777" w:rsidR="0093164B" w:rsidRDefault="0093164B" w:rsidP="006E6BD4">
      <w:pPr>
        <w:pStyle w:val="3"/>
        <w:ind w:right="-106"/>
      </w:pPr>
    </w:p>
    <w:p w14:paraId="4A28F35D" w14:textId="77777777" w:rsidR="0093164B" w:rsidRDefault="0093164B" w:rsidP="006E6BD4">
      <w:pPr>
        <w:pStyle w:val="3"/>
        <w:ind w:right="-106"/>
      </w:pPr>
    </w:p>
    <w:p w14:paraId="200D1306" w14:textId="77777777" w:rsidR="00A90163" w:rsidRPr="00A90163" w:rsidRDefault="00A90163" w:rsidP="006E6BD4">
      <w:pPr>
        <w:pStyle w:val="3"/>
        <w:ind w:right="-106"/>
        <w:rPr>
          <w:b/>
        </w:rPr>
      </w:pPr>
      <w:r w:rsidRPr="00A90163">
        <w:rPr>
          <w:b/>
        </w:rPr>
        <w:lastRenderedPageBreak/>
        <w:t>Нарушение функции почек</w:t>
      </w:r>
    </w:p>
    <w:p w14:paraId="309F97A9" w14:textId="1CA69722" w:rsidR="00A90163" w:rsidRPr="009C4D31" w:rsidRDefault="00A90163" w:rsidP="006E6BD4">
      <w:pPr>
        <w:pStyle w:val="3"/>
        <w:ind w:right="-106"/>
      </w:pPr>
      <w:r>
        <w:t>При нарушении</w:t>
      </w:r>
      <w:r w:rsidR="009C4D31">
        <w:t xml:space="preserve"> выделительной функции п</w:t>
      </w:r>
      <w:r w:rsidR="00182037">
        <w:t xml:space="preserve">очек необходимо уменьшить дозу </w:t>
      </w:r>
      <w:proofErr w:type="spellStart"/>
      <w:r w:rsidR="00182037">
        <w:t>д</w:t>
      </w:r>
      <w:r w:rsidR="009C4D31">
        <w:t>игоксина</w:t>
      </w:r>
      <w:proofErr w:type="spellEnd"/>
      <w:r w:rsidR="009C4D31" w:rsidRPr="009C4D31">
        <w:t>:</w:t>
      </w:r>
      <w:r w:rsidR="009C4D31">
        <w:t xml:space="preserve"> при значении клиренса </w:t>
      </w:r>
      <w:proofErr w:type="spellStart"/>
      <w:r w:rsidR="009C4D31">
        <w:t>креатинина</w:t>
      </w:r>
      <w:proofErr w:type="spellEnd"/>
      <w:r w:rsidR="009C4D31">
        <w:t xml:space="preserve"> (КК) 50-80 мл</w:t>
      </w:r>
      <w:r w:rsidR="009C4D31" w:rsidRPr="009C4D31">
        <w:t>/</w:t>
      </w:r>
      <w:r w:rsidR="009C4D31">
        <w:t xml:space="preserve">мин средняя поддерживающая доза </w:t>
      </w:r>
      <w:r w:rsidR="00872521">
        <w:t xml:space="preserve">            </w:t>
      </w:r>
      <w:r w:rsidR="009C4D31">
        <w:t>(СПД) составляет 50 % от СПД для пациентов с нормальной функцией почек</w:t>
      </w:r>
      <w:r w:rsidR="009C4D31" w:rsidRPr="009C4D31">
        <w:t>;</w:t>
      </w:r>
      <w:r w:rsidR="009C4D31">
        <w:t xml:space="preserve"> при КК </w:t>
      </w:r>
      <w:r w:rsidR="00872521">
        <w:t xml:space="preserve">                    </w:t>
      </w:r>
      <w:r w:rsidR="009C4D31">
        <w:t>менее 10 мл</w:t>
      </w:r>
      <w:r w:rsidR="009C4D31" w:rsidRPr="009C4D31">
        <w:t>/</w:t>
      </w:r>
      <w:r w:rsidR="009C4D31">
        <w:t>мин – 25</w:t>
      </w:r>
      <w:r w:rsidR="00182037">
        <w:t xml:space="preserve"> </w:t>
      </w:r>
      <w:r w:rsidR="009C4D31">
        <w:t>% от обычной дозы.</w:t>
      </w:r>
    </w:p>
    <w:p w14:paraId="7589F6FF" w14:textId="77777777" w:rsidR="006E6BD4" w:rsidRPr="00E5017C" w:rsidRDefault="006E6BD4" w:rsidP="006E6BD4">
      <w:pPr>
        <w:pStyle w:val="3"/>
        <w:ind w:right="-106"/>
        <w:rPr>
          <w:b/>
          <w:bCs/>
          <w:color w:val="auto"/>
          <w:lang w:eastAsia="ru-RU"/>
        </w:rPr>
      </w:pPr>
      <w:r w:rsidRPr="00E5017C">
        <w:rPr>
          <w:b/>
          <w:bCs/>
          <w:color w:val="auto"/>
          <w:lang w:eastAsia="ru-RU"/>
        </w:rPr>
        <w:t>Побочное действие</w:t>
      </w:r>
    </w:p>
    <w:p w14:paraId="48D59537" w14:textId="77777777" w:rsidR="006E6BD4" w:rsidRDefault="009C4D31" w:rsidP="006E6BD4">
      <w:pPr>
        <w:pStyle w:val="3"/>
      </w:pPr>
      <w:r>
        <w:t>Отмечаемые побочные эффекты часто являются начальными признаками передозировки.</w:t>
      </w:r>
    </w:p>
    <w:p w14:paraId="44CA2D21" w14:textId="77777777" w:rsidR="00C35D2E" w:rsidRDefault="00C35D2E" w:rsidP="006E6BD4">
      <w:pPr>
        <w:pStyle w:val="3"/>
      </w:pPr>
      <w:proofErr w:type="spellStart"/>
      <w:r>
        <w:t>Дигиталисная</w:t>
      </w:r>
      <w:proofErr w:type="spellEnd"/>
      <w:r>
        <w:t xml:space="preserve"> интоксикация</w:t>
      </w:r>
      <w:r w:rsidRPr="002C3F52">
        <w:t>:</w:t>
      </w:r>
    </w:p>
    <w:p w14:paraId="1B323623" w14:textId="646B4713" w:rsidR="00872521" w:rsidRDefault="00872521" w:rsidP="006E6BD4">
      <w:pPr>
        <w:pStyle w:val="3"/>
      </w:pPr>
      <w:r w:rsidRPr="00872521">
        <w:rPr>
          <w:i/>
        </w:rPr>
        <w:t>Нарушения со стороны сердца</w:t>
      </w:r>
      <w:r w:rsidR="00B8494D">
        <w:t xml:space="preserve"> </w:t>
      </w:r>
      <w:r w:rsidR="00C35D2E">
        <w:t xml:space="preserve">– желудочковая пароксизмальная тахикардия, </w:t>
      </w:r>
    </w:p>
    <w:p w14:paraId="7053ACD0" w14:textId="587F9873" w:rsidR="00C35D2E" w:rsidRPr="002329AE" w:rsidRDefault="00C35D2E" w:rsidP="006E6BD4">
      <w:pPr>
        <w:pStyle w:val="3"/>
      </w:pPr>
      <w:r>
        <w:t xml:space="preserve">желудочковая экстрасистолия (часто </w:t>
      </w:r>
      <w:proofErr w:type="spellStart"/>
      <w:r>
        <w:t>бигеминия</w:t>
      </w:r>
      <w:proofErr w:type="spellEnd"/>
      <w:r>
        <w:t xml:space="preserve">, </w:t>
      </w:r>
      <w:proofErr w:type="spellStart"/>
      <w:r>
        <w:t>политопная</w:t>
      </w:r>
      <w:proofErr w:type="spellEnd"/>
      <w:r>
        <w:t xml:space="preserve"> желудочковая экстрасистолия), узловая тахикардия, синусовая брадикардия, синоаурикулярная (</w:t>
      </w:r>
      <w:r>
        <w:rPr>
          <w:lang w:val="en-US"/>
        </w:rPr>
        <w:t>SA</w:t>
      </w:r>
      <w:r w:rsidRPr="00C35D2E">
        <w:t xml:space="preserve">) </w:t>
      </w:r>
      <w:r w:rsidRPr="002329AE">
        <w:t xml:space="preserve">блокада, </w:t>
      </w:r>
      <w:r w:rsidR="002C3F52" w:rsidRPr="002329AE">
        <w:rPr>
          <w:rStyle w:val="2"/>
          <w:rFonts w:eastAsia="Calibri"/>
          <w:bCs/>
          <w:sz w:val="24"/>
        </w:rPr>
        <w:t>фибрилляция</w:t>
      </w:r>
      <w:r w:rsidRPr="002329AE">
        <w:t xml:space="preserve"> и трепетание предсердий, </w:t>
      </w:r>
      <w:r w:rsidRPr="002329AE">
        <w:rPr>
          <w:lang w:val="en-US"/>
        </w:rPr>
        <w:t>AV</w:t>
      </w:r>
      <w:r w:rsidR="00182037">
        <w:t xml:space="preserve"> -</w:t>
      </w:r>
      <w:r w:rsidRPr="002329AE">
        <w:t xml:space="preserve"> блокада; на ЭКГ – корытообразная депрессия сегмента </w:t>
      </w:r>
      <w:r w:rsidRPr="002329AE">
        <w:rPr>
          <w:lang w:val="en-US"/>
        </w:rPr>
        <w:t>ST</w:t>
      </w:r>
      <w:r w:rsidRPr="002329AE">
        <w:t>.</w:t>
      </w:r>
    </w:p>
    <w:p w14:paraId="55198812" w14:textId="77777777" w:rsidR="00C35D2E" w:rsidRPr="002329AE" w:rsidRDefault="0024363C" w:rsidP="006E6BD4">
      <w:pPr>
        <w:pStyle w:val="3"/>
      </w:pPr>
      <w:r w:rsidRPr="002329AE">
        <w:rPr>
          <w:i/>
        </w:rPr>
        <w:t>Нарушения с</w:t>
      </w:r>
      <w:r w:rsidR="00C35D2E" w:rsidRPr="002329AE">
        <w:rPr>
          <w:i/>
        </w:rPr>
        <w:t xml:space="preserve">о стороны </w:t>
      </w:r>
      <w:r w:rsidRPr="002329AE">
        <w:rPr>
          <w:i/>
        </w:rPr>
        <w:t>желудочно-кишечного</w:t>
      </w:r>
      <w:r w:rsidR="00C35D2E" w:rsidRPr="002329AE">
        <w:rPr>
          <w:i/>
        </w:rPr>
        <w:t xml:space="preserve"> тракта:</w:t>
      </w:r>
      <w:r w:rsidR="00C35D2E" w:rsidRPr="002329AE">
        <w:t xml:space="preserve"> анорексия, тошнота, </w:t>
      </w:r>
      <w:proofErr w:type="gramStart"/>
      <w:r w:rsidR="00C35D2E" w:rsidRPr="002329AE">
        <w:t xml:space="preserve">рвота, </w:t>
      </w:r>
      <w:r w:rsidRPr="002329AE">
        <w:t xml:space="preserve">  </w:t>
      </w:r>
      <w:proofErr w:type="gramEnd"/>
      <w:r w:rsidRPr="002329AE">
        <w:t xml:space="preserve">                                  </w:t>
      </w:r>
      <w:r w:rsidR="00C35D2E" w:rsidRPr="002329AE">
        <w:t>диарея, абдоминальные боли, некроз кишечника.</w:t>
      </w:r>
    </w:p>
    <w:p w14:paraId="4F85F294" w14:textId="77777777" w:rsidR="00C35D2E" w:rsidRDefault="0024363C" w:rsidP="00182037">
      <w:pPr>
        <w:pStyle w:val="3"/>
      </w:pPr>
      <w:r w:rsidRPr="002329AE">
        <w:rPr>
          <w:i/>
        </w:rPr>
        <w:t>Нарушения с</w:t>
      </w:r>
      <w:r w:rsidR="00C35D2E" w:rsidRPr="002329AE">
        <w:rPr>
          <w:i/>
        </w:rPr>
        <w:t>о стороны нервной системы</w:t>
      </w:r>
      <w:r w:rsidR="00C35D2E" w:rsidRPr="002329AE">
        <w:t>: нарушения сна, головная боль, головокружение, неврит, радикулит, маниакально-</w:t>
      </w:r>
      <w:r w:rsidR="00BA00A0" w:rsidRPr="002329AE">
        <w:t>депрессивный синдром, парестезия</w:t>
      </w:r>
      <w:r w:rsidR="00C35D2E" w:rsidRPr="002329AE">
        <w:t xml:space="preserve"> и</w:t>
      </w:r>
      <w:r w:rsidR="00C35D2E">
        <w:t xml:space="preserve"> обморок, в редких случаях (преимущественно у пациентов пожилого возраста, страдающих атеросклерозом) дезориентация, спутанность сознания, одноцветные зрительные галлюцинации.</w:t>
      </w:r>
    </w:p>
    <w:p w14:paraId="60B80203" w14:textId="77777777" w:rsidR="0024363C" w:rsidRDefault="0024363C" w:rsidP="006E6BD4">
      <w:pPr>
        <w:pStyle w:val="3"/>
      </w:pPr>
      <w:r>
        <w:rPr>
          <w:i/>
        </w:rPr>
        <w:t>Нарушения с</w:t>
      </w:r>
      <w:r w:rsidRPr="0024363C">
        <w:rPr>
          <w:i/>
        </w:rPr>
        <w:t>о стороны органа зрения</w:t>
      </w:r>
      <w:r w:rsidR="00C35D2E" w:rsidRPr="0024363C">
        <w:rPr>
          <w:i/>
        </w:rPr>
        <w:t>:</w:t>
      </w:r>
      <w:r w:rsidR="00C35D2E">
        <w:t xml:space="preserve"> окрашивание видимых предметов в желто-зеленый </w:t>
      </w:r>
    </w:p>
    <w:p w14:paraId="0E321CA9" w14:textId="77777777" w:rsidR="00C35D2E" w:rsidRDefault="00C35D2E" w:rsidP="006E6BD4">
      <w:pPr>
        <w:pStyle w:val="3"/>
      </w:pPr>
      <w:r>
        <w:t xml:space="preserve">цвет, мелькание </w:t>
      </w:r>
      <w:r w:rsidRPr="00C35D2E">
        <w:t>“</w:t>
      </w:r>
      <w:r>
        <w:t>мушек</w:t>
      </w:r>
      <w:r w:rsidRPr="00C35D2E">
        <w:t>”</w:t>
      </w:r>
      <w:r>
        <w:t xml:space="preserve"> перед глазами, снижение остроты зрения, макро- и </w:t>
      </w:r>
      <w:proofErr w:type="spellStart"/>
      <w:r>
        <w:t>микропсия</w:t>
      </w:r>
      <w:proofErr w:type="spellEnd"/>
      <w:r>
        <w:t>.</w:t>
      </w:r>
    </w:p>
    <w:p w14:paraId="338244A1" w14:textId="77777777" w:rsidR="0024363C" w:rsidRPr="0024363C" w:rsidRDefault="0024363C" w:rsidP="006E6BD4">
      <w:pPr>
        <w:pStyle w:val="3"/>
        <w:rPr>
          <w:i/>
        </w:rPr>
      </w:pPr>
      <w:r w:rsidRPr="0024363C">
        <w:rPr>
          <w:i/>
        </w:rPr>
        <w:t>Нарушения со стороны кожи и подкожных тканей:</w:t>
      </w:r>
      <w:r w:rsidRPr="0024363C">
        <w:t xml:space="preserve"> </w:t>
      </w:r>
      <w:r>
        <w:t>кожная сыпь, редко крапивница.</w:t>
      </w:r>
    </w:p>
    <w:p w14:paraId="278FA809" w14:textId="77777777" w:rsidR="00C35D2E" w:rsidRDefault="0024363C" w:rsidP="006E6BD4">
      <w:pPr>
        <w:pStyle w:val="3"/>
      </w:pPr>
      <w:r w:rsidRPr="0024363C">
        <w:rPr>
          <w:i/>
        </w:rPr>
        <w:t>Нарушения со стороны крови и лимфатической системы:</w:t>
      </w:r>
      <w:r>
        <w:t xml:space="preserve"> тромбоцитопеническая </w:t>
      </w:r>
      <w:r w:rsidR="002329AE">
        <w:t xml:space="preserve">   </w:t>
      </w:r>
      <w:r>
        <w:t>пурпура, носовые кровотечения, петехии.</w:t>
      </w:r>
    </w:p>
    <w:p w14:paraId="4D2E290D" w14:textId="77777777" w:rsidR="00C35D2E" w:rsidRPr="0024363C" w:rsidRDefault="0024363C" w:rsidP="006E6BD4">
      <w:pPr>
        <w:pStyle w:val="3"/>
        <w:rPr>
          <w:i/>
        </w:rPr>
      </w:pPr>
      <w:r w:rsidRPr="0024363C">
        <w:rPr>
          <w:i/>
        </w:rPr>
        <w:t>Нарушения со стороны обмена веществ и питания</w:t>
      </w:r>
      <w:r w:rsidR="00C35D2E" w:rsidRPr="0024363C">
        <w:rPr>
          <w:i/>
        </w:rPr>
        <w:t xml:space="preserve">: </w:t>
      </w:r>
      <w:proofErr w:type="spellStart"/>
      <w:r>
        <w:t>гипокалиемия</w:t>
      </w:r>
      <w:proofErr w:type="spellEnd"/>
      <w:r>
        <w:t>.</w:t>
      </w:r>
    </w:p>
    <w:p w14:paraId="7EE9B202" w14:textId="77777777" w:rsidR="00C35D2E" w:rsidRPr="00C35D2E" w:rsidRDefault="0024363C" w:rsidP="006E6BD4">
      <w:pPr>
        <w:pStyle w:val="3"/>
      </w:pPr>
      <w:r w:rsidRPr="0024363C">
        <w:rPr>
          <w:i/>
        </w:rPr>
        <w:t>Нарушения со стороны эндокринной системы:</w:t>
      </w:r>
      <w:r w:rsidR="00C35D2E">
        <w:t xml:space="preserve"> гинекомастия. </w:t>
      </w:r>
    </w:p>
    <w:p w14:paraId="665EF235" w14:textId="77777777" w:rsidR="006E6BD4" w:rsidRDefault="006E6BD4" w:rsidP="006E6BD4">
      <w:pPr>
        <w:pStyle w:val="3"/>
        <w:rPr>
          <w:b/>
          <w:bCs/>
          <w:lang w:eastAsia="ru-RU"/>
        </w:rPr>
      </w:pPr>
      <w:r>
        <w:rPr>
          <w:b/>
          <w:bCs/>
          <w:lang w:eastAsia="ru-RU"/>
        </w:rPr>
        <w:t>Передозировка</w:t>
      </w:r>
    </w:p>
    <w:p w14:paraId="637EC247" w14:textId="4A5EA324" w:rsidR="006E6BD4" w:rsidRDefault="006E6BD4" w:rsidP="006E6BD4">
      <w:pPr>
        <w:pStyle w:val="3"/>
        <w:rPr>
          <w:lang w:eastAsia="ru-RU"/>
        </w:rPr>
      </w:pPr>
      <w:r w:rsidRPr="00E746C5">
        <w:rPr>
          <w:lang w:eastAsia="ru-RU"/>
        </w:rPr>
        <w:t xml:space="preserve">Лечение: </w:t>
      </w:r>
      <w:r w:rsidR="00B8494D">
        <w:rPr>
          <w:lang w:eastAsia="ru-RU"/>
        </w:rPr>
        <w:t xml:space="preserve">отмена </w:t>
      </w:r>
      <w:proofErr w:type="spellStart"/>
      <w:r w:rsidR="00B8494D">
        <w:rPr>
          <w:lang w:eastAsia="ru-RU"/>
        </w:rPr>
        <w:t>д</w:t>
      </w:r>
      <w:r w:rsidR="005E1CF6">
        <w:rPr>
          <w:lang w:eastAsia="ru-RU"/>
        </w:rPr>
        <w:t>игоксина</w:t>
      </w:r>
      <w:proofErr w:type="spellEnd"/>
      <w:r w:rsidR="005E1CF6">
        <w:rPr>
          <w:lang w:eastAsia="ru-RU"/>
        </w:rPr>
        <w:t>, назначение активированного угля (для уменьшения всасывания), введение антидотов (</w:t>
      </w:r>
      <w:proofErr w:type="spellStart"/>
      <w:r w:rsidR="005E1CF6">
        <w:rPr>
          <w:lang w:eastAsia="ru-RU"/>
        </w:rPr>
        <w:t>унитиол</w:t>
      </w:r>
      <w:proofErr w:type="spellEnd"/>
      <w:r w:rsidR="005E1CF6">
        <w:rPr>
          <w:lang w:eastAsia="ru-RU"/>
        </w:rPr>
        <w:t xml:space="preserve">, ЭДТА, антитела к </w:t>
      </w:r>
      <w:proofErr w:type="spellStart"/>
      <w:r w:rsidR="005E1CF6">
        <w:rPr>
          <w:lang w:eastAsia="ru-RU"/>
        </w:rPr>
        <w:t>дигоксину</w:t>
      </w:r>
      <w:proofErr w:type="spellEnd"/>
      <w:r w:rsidR="005E1CF6">
        <w:rPr>
          <w:lang w:eastAsia="ru-RU"/>
        </w:rPr>
        <w:t xml:space="preserve">), симптоматическая терапия. Проводить постоянное </w:t>
      </w:r>
      <w:proofErr w:type="spellStart"/>
      <w:r w:rsidR="005E1CF6">
        <w:rPr>
          <w:lang w:eastAsia="ru-RU"/>
        </w:rPr>
        <w:t>мониторирование</w:t>
      </w:r>
      <w:proofErr w:type="spellEnd"/>
      <w:r w:rsidR="005E1CF6">
        <w:rPr>
          <w:lang w:eastAsia="ru-RU"/>
        </w:rPr>
        <w:t xml:space="preserve"> ЭКГ.</w:t>
      </w:r>
    </w:p>
    <w:p w14:paraId="10F014A2" w14:textId="77777777" w:rsidR="0024363C" w:rsidRDefault="005E1CF6" w:rsidP="006E6BD4">
      <w:pPr>
        <w:pStyle w:val="3"/>
        <w:rPr>
          <w:lang w:eastAsia="ru-RU"/>
        </w:rPr>
      </w:pPr>
      <w:r>
        <w:rPr>
          <w:lang w:eastAsia="ru-RU"/>
        </w:rPr>
        <w:t xml:space="preserve">В случаях </w:t>
      </w:r>
      <w:proofErr w:type="spellStart"/>
      <w:r>
        <w:rPr>
          <w:lang w:eastAsia="ru-RU"/>
        </w:rPr>
        <w:t>гипокалиемии</w:t>
      </w:r>
      <w:proofErr w:type="spellEnd"/>
      <w:r>
        <w:rPr>
          <w:lang w:eastAsia="ru-RU"/>
        </w:rPr>
        <w:t xml:space="preserve"> широко применяются соли калия</w:t>
      </w:r>
      <w:r w:rsidRPr="005E1CF6">
        <w:rPr>
          <w:lang w:eastAsia="ru-RU"/>
        </w:rPr>
        <w:t>:</w:t>
      </w:r>
      <w:r>
        <w:rPr>
          <w:lang w:eastAsia="ru-RU"/>
        </w:rPr>
        <w:t xml:space="preserve"> 0,5-1 г калия хлорида растворяют в воде и принимают несколько раз в день до суммарной дозы 3-6 г (40-80 </w:t>
      </w:r>
    </w:p>
    <w:p w14:paraId="65544179" w14:textId="77777777" w:rsidR="002329AE" w:rsidRDefault="005E1CF6" w:rsidP="006E6BD4">
      <w:pPr>
        <w:pStyle w:val="3"/>
        <w:rPr>
          <w:lang w:eastAsia="ru-RU"/>
        </w:rPr>
      </w:pPr>
      <w:proofErr w:type="spellStart"/>
      <w:r>
        <w:rPr>
          <w:lang w:eastAsia="ru-RU"/>
        </w:rPr>
        <w:t>мЭкв</w:t>
      </w:r>
      <w:proofErr w:type="spell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К</w:t>
      </w:r>
      <w:proofErr w:type="gramEnd"/>
      <w:r>
        <w:rPr>
          <w:vertAlign w:val="superscript"/>
          <w:lang w:eastAsia="ru-RU"/>
        </w:rPr>
        <w:t>+</w:t>
      </w:r>
      <w:r>
        <w:rPr>
          <w:lang w:eastAsia="ru-RU"/>
        </w:rPr>
        <w:t xml:space="preserve">) для взрослых при условии адекватной функции почек. В экстренных случаях </w:t>
      </w:r>
    </w:p>
    <w:p w14:paraId="6C60A8C1" w14:textId="64AF1BE8" w:rsidR="005E1CF6" w:rsidRDefault="005E1CF6" w:rsidP="006E6BD4">
      <w:pPr>
        <w:pStyle w:val="3"/>
        <w:rPr>
          <w:lang w:eastAsia="ru-RU"/>
        </w:rPr>
      </w:pPr>
      <w:r>
        <w:rPr>
          <w:lang w:eastAsia="ru-RU"/>
        </w:rPr>
        <w:t>показано в</w:t>
      </w:r>
      <w:r w:rsidRPr="005E1CF6">
        <w:rPr>
          <w:lang w:eastAsia="ru-RU"/>
        </w:rPr>
        <w:t>/</w:t>
      </w:r>
      <w:r>
        <w:rPr>
          <w:lang w:eastAsia="ru-RU"/>
        </w:rPr>
        <w:t>в капельное введение 2</w:t>
      </w:r>
      <w:r w:rsidR="00182037">
        <w:rPr>
          <w:lang w:eastAsia="ru-RU"/>
        </w:rPr>
        <w:t xml:space="preserve"> </w:t>
      </w:r>
      <w:r>
        <w:rPr>
          <w:lang w:eastAsia="ru-RU"/>
        </w:rPr>
        <w:t>% или 4</w:t>
      </w:r>
      <w:r w:rsidR="00182037">
        <w:rPr>
          <w:lang w:eastAsia="ru-RU"/>
        </w:rPr>
        <w:t xml:space="preserve"> </w:t>
      </w:r>
      <w:r>
        <w:rPr>
          <w:lang w:eastAsia="ru-RU"/>
        </w:rPr>
        <w:t xml:space="preserve">% раствора калия хлорида. Суточная доза составляет 40-80 </w:t>
      </w:r>
      <w:proofErr w:type="spellStart"/>
      <w:r>
        <w:rPr>
          <w:lang w:eastAsia="ru-RU"/>
        </w:rPr>
        <w:t>мЭкв</w:t>
      </w:r>
      <w:proofErr w:type="spell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К</w:t>
      </w:r>
      <w:proofErr w:type="gramEnd"/>
      <w:r>
        <w:rPr>
          <w:vertAlign w:val="superscript"/>
          <w:lang w:eastAsia="ru-RU"/>
        </w:rPr>
        <w:t>+</w:t>
      </w:r>
      <w:r>
        <w:rPr>
          <w:lang w:eastAsia="ru-RU"/>
        </w:rPr>
        <w:t xml:space="preserve"> (разведенного до концентрации 40 </w:t>
      </w:r>
      <w:proofErr w:type="spellStart"/>
      <w:r>
        <w:rPr>
          <w:lang w:eastAsia="ru-RU"/>
        </w:rPr>
        <w:t>мЭкв</w:t>
      </w:r>
      <w:proofErr w:type="spellEnd"/>
      <w:r>
        <w:rPr>
          <w:lang w:eastAsia="ru-RU"/>
        </w:rPr>
        <w:t xml:space="preserve"> К</w:t>
      </w:r>
      <w:r>
        <w:rPr>
          <w:vertAlign w:val="superscript"/>
          <w:lang w:eastAsia="ru-RU"/>
        </w:rPr>
        <w:t>+</w:t>
      </w:r>
      <w:r>
        <w:rPr>
          <w:lang w:eastAsia="ru-RU"/>
        </w:rPr>
        <w:t xml:space="preserve"> на 500 мл). </w:t>
      </w:r>
      <w:r>
        <w:rPr>
          <w:lang w:eastAsia="ru-RU"/>
        </w:rPr>
        <w:lastRenderedPageBreak/>
        <w:t xml:space="preserve">Рекомендуемая скорость введения </w:t>
      </w:r>
      <w:r w:rsidR="00A87C38">
        <w:rPr>
          <w:lang w:eastAsia="ru-RU"/>
        </w:rPr>
        <w:t xml:space="preserve">не должна превышать 20 </w:t>
      </w:r>
      <w:proofErr w:type="spellStart"/>
      <w:r w:rsidR="00A87C38">
        <w:rPr>
          <w:lang w:eastAsia="ru-RU"/>
        </w:rPr>
        <w:t>мЭкв</w:t>
      </w:r>
      <w:proofErr w:type="spellEnd"/>
      <w:r w:rsidR="00A87C38" w:rsidRPr="00A87C38">
        <w:rPr>
          <w:lang w:eastAsia="ru-RU"/>
        </w:rPr>
        <w:t>/</w:t>
      </w:r>
      <w:r w:rsidR="00A87C38">
        <w:rPr>
          <w:lang w:eastAsia="ru-RU"/>
        </w:rPr>
        <w:t xml:space="preserve">ч (под контролем ЭКГ). При </w:t>
      </w:r>
      <w:proofErr w:type="spellStart"/>
      <w:r w:rsidR="00A87C38">
        <w:rPr>
          <w:lang w:eastAsia="ru-RU"/>
        </w:rPr>
        <w:t>гипомагниемии</w:t>
      </w:r>
      <w:proofErr w:type="spellEnd"/>
      <w:r w:rsidR="00A87C38">
        <w:rPr>
          <w:lang w:eastAsia="ru-RU"/>
        </w:rPr>
        <w:t xml:space="preserve"> рекомендуется назначение солей магния.</w:t>
      </w:r>
    </w:p>
    <w:p w14:paraId="5336E03C" w14:textId="5CD4EC49" w:rsidR="00A87C38" w:rsidRDefault="00A87C38" w:rsidP="006E6BD4">
      <w:pPr>
        <w:pStyle w:val="3"/>
        <w:rPr>
          <w:lang w:eastAsia="ru-RU"/>
        </w:rPr>
      </w:pPr>
      <w:r>
        <w:rPr>
          <w:lang w:eastAsia="ru-RU"/>
        </w:rPr>
        <w:t xml:space="preserve">В случаях желудочковой </w:t>
      </w:r>
      <w:proofErr w:type="spellStart"/>
      <w:r>
        <w:rPr>
          <w:lang w:eastAsia="ru-RU"/>
        </w:rPr>
        <w:t>тахиаритмии</w:t>
      </w:r>
      <w:proofErr w:type="spellEnd"/>
      <w:r>
        <w:rPr>
          <w:lang w:eastAsia="ru-RU"/>
        </w:rPr>
        <w:t xml:space="preserve"> показано медленное в</w:t>
      </w:r>
      <w:r w:rsidRPr="00A87C38">
        <w:rPr>
          <w:lang w:eastAsia="ru-RU"/>
        </w:rPr>
        <w:t>/</w:t>
      </w:r>
      <w:r>
        <w:rPr>
          <w:lang w:eastAsia="ru-RU"/>
        </w:rPr>
        <w:t xml:space="preserve">в введение </w:t>
      </w:r>
      <w:proofErr w:type="spellStart"/>
      <w:r>
        <w:rPr>
          <w:lang w:eastAsia="ru-RU"/>
        </w:rPr>
        <w:t>лидокаина</w:t>
      </w:r>
      <w:proofErr w:type="spellEnd"/>
      <w:r>
        <w:rPr>
          <w:lang w:eastAsia="ru-RU"/>
        </w:rPr>
        <w:t xml:space="preserve">. У </w:t>
      </w:r>
      <w:r w:rsidR="00BA00A0" w:rsidRPr="002329AE">
        <w:rPr>
          <w:lang w:eastAsia="ru-RU"/>
        </w:rPr>
        <w:t>пациентов</w:t>
      </w:r>
      <w:r w:rsidRPr="002329AE">
        <w:rPr>
          <w:lang w:eastAsia="ru-RU"/>
        </w:rPr>
        <w:t xml:space="preserve"> с нормальной функцией сердца и почек обычно бывает эффективно медленное в/в введение (в течение 2-4 мин) </w:t>
      </w:r>
      <w:proofErr w:type="spellStart"/>
      <w:r w:rsidRPr="002329AE">
        <w:rPr>
          <w:lang w:eastAsia="ru-RU"/>
        </w:rPr>
        <w:t>лидокаина</w:t>
      </w:r>
      <w:proofErr w:type="spellEnd"/>
      <w:r w:rsidRPr="002329AE">
        <w:rPr>
          <w:lang w:eastAsia="ru-RU"/>
        </w:rPr>
        <w:t xml:space="preserve"> в начальной дозе 1-2 мг/кг массы тела, с последующим переходом на капельное введение со скоростью 1-2 мг/мин. У </w:t>
      </w:r>
      <w:r w:rsidR="00BA00A0" w:rsidRPr="002329AE">
        <w:rPr>
          <w:lang w:eastAsia="ru-RU"/>
        </w:rPr>
        <w:t>пациентов</w:t>
      </w:r>
      <w:r w:rsidRPr="002329AE">
        <w:rPr>
          <w:lang w:eastAsia="ru-RU"/>
        </w:rPr>
        <w:t xml:space="preserve"> с нарушением функции почек и/или сердца дозу необходимо соответствующим образом</w:t>
      </w:r>
      <w:r>
        <w:rPr>
          <w:lang w:eastAsia="ru-RU"/>
        </w:rPr>
        <w:t xml:space="preserve"> уменьшить. При наличии </w:t>
      </w:r>
      <w:r>
        <w:rPr>
          <w:lang w:val="en-US" w:eastAsia="ru-RU"/>
        </w:rPr>
        <w:t>AV</w:t>
      </w:r>
      <w:r w:rsidR="00182037">
        <w:rPr>
          <w:lang w:eastAsia="ru-RU"/>
        </w:rPr>
        <w:t xml:space="preserve"> -</w:t>
      </w:r>
      <w:r w:rsidRPr="00A87C38">
        <w:rPr>
          <w:lang w:eastAsia="ru-RU"/>
        </w:rPr>
        <w:t xml:space="preserve"> </w:t>
      </w:r>
      <w:r>
        <w:rPr>
          <w:lang w:eastAsia="ru-RU"/>
        </w:rPr>
        <w:t xml:space="preserve">блокады </w:t>
      </w:r>
      <w:r>
        <w:rPr>
          <w:lang w:val="en-US" w:eastAsia="ru-RU"/>
        </w:rPr>
        <w:t>II</w:t>
      </w:r>
      <w:r w:rsidRPr="00A87C38">
        <w:rPr>
          <w:lang w:eastAsia="ru-RU"/>
        </w:rPr>
        <w:t>-</w:t>
      </w:r>
      <w:r>
        <w:rPr>
          <w:lang w:val="en-US" w:eastAsia="ru-RU"/>
        </w:rPr>
        <w:t>III</w:t>
      </w:r>
      <w:r w:rsidRPr="00A87C38">
        <w:rPr>
          <w:lang w:eastAsia="ru-RU"/>
        </w:rPr>
        <w:t xml:space="preserve"> </w:t>
      </w:r>
      <w:r>
        <w:rPr>
          <w:lang w:eastAsia="ru-RU"/>
        </w:rPr>
        <w:t xml:space="preserve">степени не следует назначать </w:t>
      </w:r>
      <w:proofErr w:type="spellStart"/>
      <w:r>
        <w:rPr>
          <w:lang w:eastAsia="ru-RU"/>
        </w:rPr>
        <w:t>лидокаин</w:t>
      </w:r>
      <w:proofErr w:type="spellEnd"/>
      <w:r>
        <w:rPr>
          <w:lang w:eastAsia="ru-RU"/>
        </w:rPr>
        <w:t xml:space="preserve"> и соли калия до тех пор, пока не будет установлен искусственный водитель ритма.</w:t>
      </w:r>
    </w:p>
    <w:p w14:paraId="7B453BD4" w14:textId="77777777" w:rsidR="00A87C38" w:rsidRDefault="00A87C38" w:rsidP="006E6BD4">
      <w:pPr>
        <w:pStyle w:val="3"/>
        <w:rPr>
          <w:lang w:eastAsia="ru-RU"/>
        </w:rPr>
      </w:pPr>
      <w:r>
        <w:rPr>
          <w:lang w:eastAsia="ru-RU"/>
        </w:rPr>
        <w:t>Во время лечения необходимо следить за содержанием кальция и фосфора в крови и суточной моче.</w:t>
      </w:r>
    </w:p>
    <w:p w14:paraId="2A1532A5" w14:textId="77777777" w:rsidR="005E1CF6" w:rsidRPr="0093164B" w:rsidRDefault="00A87C38" w:rsidP="006E6BD4">
      <w:pPr>
        <w:pStyle w:val="3"/>
        <w:rPr>
          <w:lang w:eastAsia="ru-RU"/>
        </w:rPr>
      </w:pPr>
      <w:r>
        <w:rPr>
          <w:lang w:eastAsia="ru-RU"/>
        </w:rPr>
        <w:t>Имеется опыт применения следующих препаратов с возможным положительным эффектом</w:t>
      </w:r>
      <w:r w:rsidRPr="00A87C38">
        <w:rPr>
          <w:lang w:eastAsia="ru-RU"/>
        </w:rPr>
        <w:t>:</w:t>
      </w:r>
      <w:r>
        <w:rPr>
          <w:lang w:eastAsia="ru-RU"/>
        </w:rPr>
        <w:t xml:space="preserve"> бета-адреноблокаторов, </w:t>
      </w:r>
      <w:proofErr w:type="spellStart"/>
      <w:r>
        <w:rPr>
          <w:lang w:eastAsia="ru-RU"/>
        </w:rPr>
        <w:t>прокаинамида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бретилия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фенитоина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Кардиоверсия</w:t>
      </w:r>
      <w:proofErr w:type="spellEnd"/>
      <w:r>
        <w:rPr>
          <w:lang w:eastAsia="ru-RU"/>
        </w:rPr>
        <w:t xml:space="preserve"> может спровоцировать фибрилляцию желудочков. Для лечения </w:t>
      </w:r>
      <w:proofErr w:type="spellStart"/>
      <w:r>
        <w:rPr>
          <w:lang w:eastAsia="ru-RU"/>
        </w:rPr>
        <w:t>брадиаритмий</w:t>
      </w:r>
      <w:proofErr w:type="spellEnd"/>
      <w:r>
        <w:rPr>
          <w:lang w:eastAsia="ru-RU"/>
        </w:rPr>
        <w:t xml:space="preserve"> и </w:t>
      </w:r>
      <w:r>
        <w:rPr>
          <w:lang w:val="en-US" w:eastAsia="ru-RU"/>
        </w:rPr>
        <w:t>AV</w:t>
      </w:r>
      <w:r w:rsidRPr="00A87C38">
        <w:rPr>
          <w:lang w:eastAsia="ru-RU"/>
        </w:rPr>
        <w:t>-</w:t>
      </w:r>
      <w:r>
        <w:rPr>
          <w:lang w:eastAsia="ru-RU"/>
        </w:rPr>
        <w:t xml:space="preserve">блокады показано применение атропина. При </w:t>
      </w:r>
      <w:r>
        <w:rPr>
          <w:lang w:val="en-US" w:eastAsia="ru-RU"/>
        </w:rPr>
        <w:t>AV</w:t>
      </w:r>
      <w:r w:rsidRPr="00A87C38">
        <w:rPr>
          <w:lang w:eastAsia="ru-RU"/>
        </w:rPr>
        <w:t>-</w:t>
      </w:r>
      <w:r>
        <w:rPr>
          <w:lang w:eastAsia="ru-RU"/>
        </w:rPr>
        <w:t xml:space="preserve">блокаде </w:t>
      </w:r>
      <w:r>
        <w:rPr>
          <w:lang w:val="en-US" w:eastAsia="ru-RU"/>
        </w:rPr>
        <w:t>II</w:t>
      </w:r>
      <w:r w:rsidRPr="00A87C38">
        <w:rPr>
          <w:lang w:eastAsia="ru-RU"/>
        </w:rPr>
        <w:t>-</w:t>
      </w:r>
      <w:r>
        <w:rPr>
          <w:lang w:val="en-US" w:eastAsia="ru-RU"/>
        </w:rPr>
        <w:t>III</w:t>
      </w:r>
      <w:r>
        <w:rPr>
          <w:lang w:eastAsia="ru-RU"/>
        </w:rPr>
        <w:t xml:space="preserve"> степени, асистолии и подавлении активности синусового узла показана установка водителя ритма. </w:t>
      </w:r>
    </w:p>
    <w:p w14:paraId="0A44BCE3" w14:textId="77777777" w:rsidR="006E6BD4" w:rsidRPr="002329AE" w:rsidRDefault="006E6BD4" w:rsidP="006E6BD4">
      <w:pPr>
        <w:pStyle w:val="3"/>
        <w:rPr>
          <w:b/>
          <w:lang w:eastAsia="ru-RU"/>
        </w:rPr>
      </w:pPr>
      <w:r w:rsidRPr="002329AE">
        <w:rPr>
          <w:b/>
          <w:lang w:eastAsia="ru-RU"/>
        </w:rPr>
        <w:t xml:space="preserve">Взаимодействие с другими лекарственными </w:t>
      </w:r>
      <w:r w:rsidR="00E5017C" w:rsidRPr="002329AE">
        <w:rPr>
          <w:b/>
          <w:lang w:eastAsia="ru-RU"/>
        </w:rPr>
        <w:t>средствами</w:t>
      </w:r>
    </w:p>
    <w:p w14:paraId="0A0EF4E2" w14:textId="74E7DD61" w:rsidR="006E6BD4" w:rsidRDefault="006E6BD4" w:rsidP="00A87C38">
      <w:pPr>
        <w:pStyle w:val="3"/>
      </w:pPr>
      <w:r w:rsidRPr="002329AE">
        <w:t xml:space="preserve">При одновременном </w:t>
      </w:r>
      <w:r w:rsidR="00A87C38" w:rsidRPr="002329AE">
        <w:t xml:space="preserve">назначении </w:t>
      </w:r>
      <w:proofErr w:type="spellStart"/>
      <w:r w:rsidR="00A87C38" w:rsidRPr="002329AE">
        <w:t>дигоксина</w:t>
      </w:r>
      <w:proofErr w:type="spellEnd"/>
      <w:r w:rsidR="00A87C38" w:rsidRPr="002329AE">
        <w:t xml:space="preserve"> с препаратами, вызывающими нарушения электролитного баланса, в частности </w:t>
      </w:r>
      <w:proofErr w:type="spellStart"/>
      <w:r w:rsidR="00A87C38" w:rsidRPr="002329AE">
        <w:t>гипокалиемию</w:t>
      </w:r>
      <w:proofErr w:type="spellEnd"/>
      <w:r w:rsidR="00A87C38" w:rsidRPr="002329AE">
        <w:t xml:space="preserve"> (например, диуретиками, </w:t>
      </w:r>
      <w:proofErr w:type="spellStart"/>
      <w:r w:rsidR="00A87C38" w:rsidRPr="002329AE">
        <w:t>глюкокортикостероидами</w:t>
      </w:r>
      <w:proofErr w:type="spellEnd"/>
      <w:r w:rsidR="00A87C38" w:rsidRPr="002329AE">
        <w:t>, инсулином, бета-</w:t>
      </w:r>
      <w:proofErr w:type="spellStart"/>
      <w:r w:rsidR="00A87C38" w:rsidRPr="002329AE">
        <w:t>адреномиметиками</w:t>
      </w:r>
      <w:proofErr w:type="spellEnd"/>
      <w:r w:rsidR="00A87C38" w:rsidRPr="002329AE">
        <w:t xml:space="preserve">, </w:t>
      </w:r>
      <w:proofErr w:type="spellStart"/>
      <w:r w:rsidR="00A87C38" w:rsidRPr="002329AE">
        <w:t>амфотерицином</w:t>
      </w:r>
      <w:proofErr w:type="spellEnd"/>
      <w:r w:rsidR="00A87C38" w:rsidRPr="002329AE">
        <w:t xml:space="preserve"> </w:t>
      </w:r>
      <w:r w:rsidR="00A87C38" w:rsidRPr="002329AE">
        <w:rPr>
          <w:lang w:val="en-US"/>
        </w:rPr>
        <w:t>B</w:t>
      </w:r>
      <w:r w:rsidR="00A87C38" w:rsidRPr="002329AE">
        <w:t xml:space="preserve">), повышается риск возникновения аритмий и развития других токсических эффектов </w:t>
      </w:r>
      <w:proofErr w:type="spellStart"/>
      <w:r w:rsidR="00A87C38" w:rsidRPr="002329AE">
        <w:t>дигоксина</w:t>
      </w:r>
      <w:proofErr w:type="spellEnd"/>
      <w:r w:rsidR="00A87C38" w:rsidRPr="002329AE">
        <w:t xml:space="preserve">, поэтому следует избегать внутривенного введения солей кальция </w:t>
      </w:r>
      <w:r w:rsidR="00BA00A0" w:rsidRPr="002329AE">
        <w:rPr>
          <w:lang w:eastAsia="ru-RU"/>
        </w:rPr>
        <w:t>пациентам</w:t>
      </w:r>
      <w:r w:rsidR="00A87C38" w:rsidRPr="002329AE">
        <w:t xml:space="preserve">, принимающим </w:t>
      </w:r>
      <w:proofErr w:type="spellStart"/>
      <w:r w:rsidR="00A87C38" w:rsidRPr="002329AE">
        <w:t>дигоксин</w:t>
      </w:r>
      <w:proofErr w:type="spellEnd"/>
      <w:r w:rsidR="00A87C38" w:rsidRPr="002329AE">
        <w:t xml:space="preserve">. </w:t>
      </w:r>
      <w:r w:rsidR="0048108D" w:rsidRPr="002329AE">
        <w:t xml:space="preserve">В этих случаях дозу </w:t>
      </w:r>
      <w:proofErr w:type="spellStart"/>
      <w:r w:rsidR="0048108D" w:rsidRPr="002329AE">
        <w:t>дигоксина</w:t>
      </w:r>
      <w:proofErr w:type="spellEnd"/>
      <w:r w:rsidR="0048108D" w:rsidRPr="002329AE">
        <w:t xml:space="preserve"> необходимо уменьшить.</w:t>
      </w:r>
      <w:r w:rsidR="0048108D">
        <w:t xml:space="preserve"> Некоторые препараты могут повысить концентрацию </w:t>
      </w:r>
      <w:proofErr w:type="spellStart"/>
      <w:r w:rsidR="0048108D">
        <w:t>дигоксина</w:t>
      </w:r>
      <w:proofErr w:type="spellEnd"/>
      <w:r w:rsidR="0048108D">
        <w:t xml:space="preserve"> в сыворотке крови, например, </w:t>
      </w:r>
      <w:proofErr w:type="spellStart"/>
      <w:r w:rsidR="0048108D">
        <w:t>хинидин</w:t>
      </w:r>
      <w:proofErr w:type="spellEnd"/>
      <w:r w:rsidR="0048108D">
        <w:t xml:space="preserve">, блокаторы </w:t>
      </w:r>
      <w:r w:rsidR="0048108D" w:rsidRPr="0048108D">
        <w:t>“</w:t>
      </w:r>
      <w:r w:rsidR="0048108D">
        <w:t>медленных</w:t>
      </w:r>
      <w:r w:rsidR="0048108D" w:rsidRPr="0048108D">
        <w:t>”</w:t>
      </w:r>
      <w:r w:rsidR="0048108D">
        <w:t xml:space="preserve"> кальциевых канало</w:t>
      </w:r>
      <w:r w:rsidR="00182037">
        <w:t>в</w:t>
      </w:r>
      <w:r w:rsidR="0048108D">
        <w:t xml:space="preserve"> (особенно </w:t>
      </w:r>
      <w:proofErr w:type="spellStart"/>
      <w:r w:rsidR="0048108D">
        <w:t>верапамил</w:t>
      </w:r>
      <w:proofErr w:type="spellEnd"/>
      <w:r w:rsidR="0048108D">
        <w:t xml:space="preserve">), </w:t>
      </w:r>
      <w:proofErr w:type="spellStart"/>
      <w:r w:rsidR="0048108D">
        <w:t>амиодарон</w:t>
      </w:r>
      <w:proofErr w:type="spellEnd"/>
      <w:r w:rsidR="0048108D">
        <w:t xml:space="preserve">, </w:t>
      </w:r>
      <w:proofErr w:type="spellStart"/>
      <w:r w:rsidR="0048108D">
        <w:t>спиронолактон</w:t>
      </w:r>
      <w:proofErr w:type="spellEnd"/>
      <w:r w:rsidR="0048108D">
        <w:t xml:space="preserve"> и </w:t>
      </w:r>
      <w:proofErr w:type="spellStart"/>
      <w:r w:rsidR="0048108D">
        <w:t>триамтерен</w:t>
      </w:r>
      <w:proofErr w:type="spellEnd"/>
      <w:r w:rsidR="0048108D">
        <w:t>.</w:t>
      </w:r>
    </w:p>
    <w:p w14:paraId="7AD54037" w14:textId="77777777" w:rsidR="0048108D" w:rsidRDefault="0048108D" w:rsidP="00A87C38">
      <w:pPr>
        <w:pStyle w:val="3"/>
      </w:pPr>
      <w:r>
        <w:t xml:space="preserve">Абсорбция </w:t>
      </w:r>
      <w:proofErr w:type="spellStart"/>
      <w:r>
        <w:t>дигоксина</w:t>
      </w:r>
      <w:proofErr w:type="spellEnd"/>
      <w:r>
        <w:t xml:space="preserve"> в кишечнике может быть снижена под действием </w:t>
      </w:r>
      <w:proofErr w:type="spellStart"/>
      <w:r>
        <w:t>колестирамина</w:t>
      </w:r>
      <w:proofErr w:type="spellEnd"/>
      <w:r>
        <w:t xml:space="preserve">, </w:t>
      </w:r>
      <w:proofErr w:type="spellStart"/>
      <w:r>
        <w:t>колестипола</w:t>
      </w:r>
      <w:proofErr w:type="spellEnd"/>
      <w:r>
        <w:t xml:space="preserve">, алюминий-содержащих антацидов, </w:t>
      </w:r>
      <w:proofErr w:type="spellStart"/>
      <w:r>
        <w:t>неомицина</w:t>
      </w:r>
      <w:proofErr w:type="spellEnd"/>
      <w:r>
        <w:t xml:space="preserve">, тетрациклинов. Имеются данные, что одновременное применение </w:t>
      </w:r>
      <w:proofErr w:type="spellStart"/>
      <w:r>
        <w:t>спиронолактона</w:t>
      </w:r>
      <w:proofErr w:type="spellEnd"/>
      <w:r>
        <w:t xml:space="preserve"> не только изменяет концентрацию </w:t>
      </w:r>
      <w:proofErr w:type="spellStart"/>
      <w:r>
        <w:t>дигоксина</w:t>
      </w:r>
      <w:proofErr w:type="spellEnd"/>
      <w:r>
        <w:t xml:space="preserve"> в сыворотке крови, но также может влиять на результаты метода определения концентрации </w:t>
      </w:r>
      <w:proofErr w:type="spellStart"/>
      <w:r>
        <w:t>дигоксина</w:t>
      </w:r>
      <w:proofErr w:type="spellEnd"/>
      <w:r>
        <w:t>, поэтому требуется особое внимание при оценке полученных результатов.</w:t>
      </w:r>
    </w:p>
    <w:p w14:paraId="620D6E12" w14:textId="77777777" w:rsidR="0048108D" w:rsidRDefault="0048108D" w:rsidP="00A87C38">
      <w:pPr>
        <w:pStyle w:val="3"/>
      </w:pPr>
      <w:r>
        <w:t xml:space="preserve">При одновременном применении с </w:t>
      </w:r>
      <w:proofErr w:type="spellStart"/>
      <w:r>
        <w:t>дигоксином</w:t>
      </w:r>
      <w:proofErr w:type="spellEnd"/>
      <w:r>
        <w:t xml:space="preserve"> ниже указанных лекарственных средств возможно их взаимодействие, вследствие которого уменьшается лечебное действие или проявляется побочное или токсическое действие </w:t>
      </w:r>
      <w:proofErr w:type="spellStart"/>
      <w:r>
        <w:t>дигоксина</w:t>
      </w:r>
      <w:proofErr w:type="spellEnd"/>
      <w:r w:rsidRPr="0048108D">
        <w:t>:</w:t>
      </w:r>
      <w:r>
        <w:t xml:space="preserve"> </w:t>
      </w:r>
      <w:proofErr w:type="spellStart"/>
      <w:r>
        <w:t>минералокортикостероиды</w:t>
      </w:r>
      <w:proofErr w:type="spellEnd"/>
      <w:r>
        <w:t xml:space="preserve">, </w:t>
      </w:r>
      <w:proofErr w:type="spellStart"/>
      <w:r>
        <w:lastRenderedPageBreak/>
        <w:t>глюкокортикостероиды</w:t>
      </w:r>
      <w:proofErr w:type="spellEnd"/>
      <w:r>
        <w:t xml:space="preserve">, обладающие значительным </w:t>
      </w:r>
      <w:proofErr w:type="spellStart"/>
      <w:r>
        <w:t>минералокортикостероидным</w:t>
      </w:r>
      <w:proofErr w:type="spellEnd"/>
      <w:r>
        <w:t xml:space="preserve"> воздействием</w:t>
      </w:r>
      <w:r w:rsidRPr="0048108D">
        <w:t>;</w:t>
      </w:r>
      <w:r>
        <w:t xml:space="preserve"> </w:t>
      </w:r>
      <w:proofErr w:type="spellStart"/>
      <w:r>
        <w:t>амфотерицин</w:t>
      </w:r>
      <w:proofErr w:type="spellEnd"/>
      <w:r>
        <w:t xml:space="preserve"> В для инъекций</w:t>
      </w:r>
      <w:r w:rsidRPr="0048108D">
        <w:t>;</w:t>
      </w:r>
      <w:r>
        <w:t xml:space="preserve"> ингибиторы карбоангидразы</w:t>
      </w:r>
      <w:r w:rsidRPr="0048108D">
        <w:t>;</w:t>
      </w:r>
      <w:r>
        <w:t xml:space="preserve"> адренокортикотропный гормон (АКТГ)</w:t>
      </w:r>
      <w:r w:rsidRPr="0048108D">
        <w:t>;</w:t>
      </w:r>
      <w:r>
        <w:t xml:space="preserve"> диуретические препараты, способствующие выделению воды и калия (</w:t>
      </w:r>
      <w:proofErr w:type="spellStart"/>
      <w:r>
        <w:t>буметанид</w:t>
      </w:r>
      <w:proofErr w:type="spellEnd"/>
      <w:r>
        <w:t xml:space="preserve">, </w:t>
      </w:r>
      <w:proofErr w:type="spellStart"/>
      <w:r>
        <w:t>этакриновая</w:t>
      </w:r>
      <w:proofErr w:type="spellEnd"/>
      <w:r>
        <w:t xml:space="preserve"> кислота, фуросемид, </w:t>
      </w:r>
      <w:proofErr w:type="spellStart"/>
      <w:r>
        <w:t>индапамид</w:t>
      </w:r>
      <w:proofErr w:type="spellEnd"/>
      <w:r>
        <w:t xml:space="preserve">, </w:t>
      </w:r>
      <w:proofErr w:type="spellStart"/>
      <w:r>
        <w:t>маннитол</w:t>
      </w:r>
      <w:proofErr w:type="spellEnd"/>
      <w:r>
        <w:t xml:space="preserve"> и производные </w:t>
      </w:r>
      <w:proofErr w:type="spellStart"/>
      <w:r>
        <w:t>тиазида</w:t>
      </w:r>
      <w:proofErr w:type="spellEnd"/>
      <w:r>
        <w:t>)</w:t>
      </w:r>
      <w:r w:rsidRPr="0048108D">
        <w:t>;</w:t>
      </w:r>
      <w:r>
        <w:t xml:space="preserve"> натрия фосфат.</w:t>
      </w:r>
    </w:p>
    <w:p w14:paraId="38449E8D" w14:textId="77777777" w:rsidR="0048108D" w:rsidRDefault="0048108D" w:rsidP="00A87C38">
      <w:pPr>
        <w:pStyle w:val="3"/>
      </w:pPr>
      <w:proofErr w:type="spellStart"/>
      <w:r>
        <w:t>Гипокалиемия</w:t>
      </w:r>
      <w:proofErr w:type="spellEnd"/>
      <w:r>
        <w:t xml:space="preserve">, вызванная упомянутыми лекарственными средствами, повышает риск токсического действия </w:t>
      </w:r>
      <w:proofErr w:type="spellStart"/>
      <w:r>
        <w:t>дигоксина</w:t>
      </w:r>
      <w:proofErr w:type="spellEnd"/>
      <w:r>
        <w:t xml:space="preserve">, поэтому при одновременном применении их с </w:t>
      </w:r>
      <w:proofErr w:type="spellStart"/>
      <w:r>
        <w:t>дигоксином</w:t>
      </w:r>
      <w:proofErr w:type="spellEnd"/>
      <w:r>
        <w:t xml:space="preserve"> требуется постоянное наблюдение за концентрацией калия в крови.</w:t>
      </w:r>
    </w:p>
    <w:p w14:paraId="3B836449" w14:textId="77777777" w:rsidR="0048108D" w:rsidRDefault="0048108D" w:rsidP="00A87C38">
      <w:pPr>
        <w:pStyle w:val="3"/>
      </w:pPr>
      <w:r w:rsidRPr="002329AE">
        <w:t xml:space="preserve">- </w:t>
      </w:r>
      <w:r w:rsidRPr="00B8494D">
        <w:t xml:space="preserve">Препараты </w:t>
      </w:r>
      <w:proofErr w:type="gramStart"/>
      <w:r w:rsidRPr="00B8494D">
        <w:t>зверобоя</w:t>
      </w:r>
      <w:proofErr w:type="gramEnd"/>
      <w:r w:rsidRPr="00B8494D">
        <w:t xml:space="preserve"> </w:t>
      </w:r>
      <w:r w:rsidR="001C1FEB" w:rsidRPr="00B8494D">
        <w:t>продырявленного</w:t>
      </w:r>
      <w:r w:rsidR="001C1FEB" w:rsidRPr="002329AE">
        <w:rPr>
          <w:i/>
        </w:rPr>
        <w:t xml:space="preserve"> </w:t>
      </w:r>
      <w:r w:rsidRPr="002329AE">
        <w:t>(взаимодействие</w:t>
      </w:r>
      <w:r>
        <w:t xml:space="preserve"> их и </w:t>
      </w:r>
      <w:proofErr w:type="spellStart"/>
      <w:r>
        <w:t>дигоксина</w:t>
      </w:r>
      <w:proofErr w:type="spellEnd"/>
      <w:r>
        <w:t xml:space="preserve"> индуцирует </w:t>
      </w:r>
      <w:r>
        <w:rPr>
          <w:lang w:val="en-US"/>
        </w:rPr>
        <w:t>P</w:t>
      </w:r>
      <w:r w:rsidRPr="0048108D">
        <w:t>-</w:t>
      </w:r>
      <w:r>
        <w:t xml:space="preserve">гликопротеин и </w:t>
      </w:r>
      <w:proofErr w:type="spellStart"/>
      <w:r>
        <w:t>цитохром</w:t>
      </w:r>
      <w:proofErr w:type="spellEnd"/>
      <w:r>
        <w:t xml:space="preserve"> </w:t>
      </w:r>
      <w:r>
        <w:rPr>
          <w:lang w:val="en-US"/>
        </w:rPr>
        <w:t>P</w:t>
      </w:r>
      <w:r w:rsidRPr="0048108D">
        <w:t>450</w:t>
      </w:r>
      <w:r>
        <w:t xml:space="preserve">, т.е. уменьшает </w:t>
      </w:r>
      <w:proofErr w:type="spellStart"/>
      <w:r>
        <w:t>биодоступность</w:t>
      </w:r>
      <w:proofErr w:type="spellEnd"/>
      <w:r>
        <w:t xml:space="preserve">, увеличивает метаболизм и заметно снижает концентрацию </w:t>
      </w:r>
      <w:proofErr w:type="spellStart"/>
      <w:r>
        <w:t>дигоксина</w:t>
      </w:r>
      <w:proofErr w:type="spellEnd"/>
      <w:r>
        <w:t xml:space="preserve"> в плазме)</w:t>
      </w:r>
      <w:r w:rsidRPr="0048108D">
        <w:t>;</w:t>
      </w:r>
    </w:p>
    <w:p w14:paraId="3AAB0EED" w14:textId="2A5EC589" w:rsidR="0048108D" w:rsidRPr="002329AE" w:rsidRDefault="0048108D" w:rsidP="00A87C38">
      <w:pPr>
        <w:pStyle w:val="3"/>
      </w:pPr>
      <w:r>
        <w:t xml:space="preserve">- </w:t>
      </w:r>
      <w:proofErr w:type="spellStart"/>
      <w:r w:rsidRPr="00B8494D">
        <w:t>Амиодарон</w:t>
      </w:r>
      <w:proofErr w:type="spellEnd"/>
      <w:r w:rsidR="00182037">
        <w:t xml:space="preserve"> </w:t>
      </w:r>
      <w:r>
        <w:t xml:space="preserve">увеличивает концентрацию </w:t>
      </w:r>
      <w:proofErr w:type="spellStart"/>
      <w:r>
        <w:t>дигоксина</w:t>
      </w:r>
      <w:proofErr w:type="spellEnd"/>
      <w:r>
        <w:t xml:space="preserve"> в плаз</w:t>
      </w:r>
      <w:r w:rsidR="00182037">
        <w:t>ме крови до токсического уровня</w:t>
      </w:r>
      <w:r>
        <w:t xml:space="preserve">. Взаимодействие </w:t>
      </w:r>
      <w:proofErr w:type="spellStart"/>
      <w:r w:rsidR="00EB6D88">
        <w:t>амиодарона</w:t>
      </w:r>
      <w:proofErr w:type="spellEnd"/>
      <w:r w:rsidR="00EB6D88">
        <w:t xml:space="preserve"> и </w:t>
      </w:r>
      <w:proofErr w:type="spellStart"/>
      <w:r w:rsidR="00EB6D88">
        <w:t>дигоксина</w:t>
      </w:r>
      <w:proofErr w:type="spellEnd"/>
      <w:r w:rsidR="00EB6D88">
        <w:t xml:space="preserve"> угнетает активность синусового и атриовентрикулярного узлов сердца, и </w:t>
      </w:r>
      <w:r w:rsidR="00EB6D88" w:rsidRPr="002329AE">
        <w:t xml:space="preserve">проводимость </w:t>
      </w:r>
      <w:r w:rsidR="001C1FEB" w:rsidRPr="002329AE">
        <w:t>электрического</w:t>
      </w:r>
      <w:r w:rsidR="00EB6D88" w:rsidRPr="002329AE">
        <w:t xml:space="preserve"> импульса по проводящей системе сердца. Поэтому, назначив </w:t>
      </w:r>
      <w:proofErr w:type="spellStart"/>
      <w:r w:rsidR="00EB6D88" w:rsidRPr="002329AE">
        <w:t>амиодарон</w:t>
      </w:r>
      <w:proofErr w:type="spellEnd"/>
      <w:r w:rsidR="00EB6D88" w:rsidRPr="002329AE">
        <w:t xml:space="preserve">, </w:t>
      </w:r>
      <w:proofErr w:type="spellStart"/>
      <w:r w:rsidR="00EB6D88" w:rsidRPr="002329AE">
        <w:t>дигоксин</w:t>
      </w:r>
      <w:proofErr w:type="spellEnd"/>
      <w:r w:rsidR="00EB6D88" w:rsidRPr="002329AE">
        <w:t xml:space="preserve"> отменяют или его дозу уменьшают на половину;</w:t>
      </w:r>
    </w:p>
    <w:p w14:paraId="4F685BBC" w14:textId="77777777" w:rsidR="00EB6D88" w:rsidRPr="002329AE" w:rsidRDefault="00EB6D88" w:rsidP="00A87C38">
      <w:pPr>
        <w:pStyle w:val="3"/>
      </w:pPr>
      <w:r w:rsidRPr="002329AE">
        <w:t xml:space="preserve">- Препараты солей алюминия, магния и другие </w:t>
      </w:r>
      <w:proofErr w:type="spellStart"/>
      <w:r w:rsidRPr="002329AE">
        <w:t>антацидные</w:t>
      </w:r>
      <w:proofErr w:type="spellEnd"/>
      <w:r w:rsidRPr="002329AE">
        <w:t xml:space="preserve"> средства могут уменьшать всасывание </w:t>
      </w:r>
      <w:proofErr w:type="spellStart"/>
      <w:r w:rsidRPr="002329AE">
        <w:t>дигоксина</w:t>
      </w:r>
      <w:proofErr w:type="spellEnd"/>
      <w:r w:rsidRPr="002329AE">
        <w:t xml:space="preserve"> и снизить его концентрацию в крови;</w:t>
      </w:r>
    </w:p>
    <w:p w14:paraId="719419A1" w14:textId="48CA0F5E" w:rsidR="00EB6D88" w:rsidRPr="002329AE" w:rsidRDefault="00EB6D88" w:rsidP="00A87C38">
      <w:pPr>
        <w:pStyle w:val="3"/>
      </w:pPr>
      <w:r w:rsidRPr="002329AE">
        <w:t>- Одновр</w:t>
      </w:r>
      <w:r w:rsidR="00182037">
        <w:t xml:space="preserve">еменное применение с </w:t>
      </w:r>
      <w:proofErr w:type="spellStart"/>
      <w:r w:rsidR="00182037">
        <w:t>дигоксином</w:t>
      </w:r>
      <w:proofErr w:type="spellEnd"/>
      <w:r w:rsidRPr="002329AE">
        <w:t xml:space="preserve"> антиаритмических средств, солей кальция, </w:t>
      </w:r>
      <w:proofErr w:type="spellStart"/>
      <w:r w:rsidRPr="002329AE">
        <w:t>панкурония</w:t>
      </w:r>
      <w:proofErr w:type="spellEnd"/>
      <w:r w:rsidRPr="002329AE">
        <w:t xml:space="preserve">, алкалоидов раувольфии, </w:t>
      </w:r>
      <w:proofErr w:type="spellStart"/>
      <w:r w:rsidRPr="002329AE">
        <w:t>сукцинилхолина</w:t>
      </w:r>
      <w:proofErr w:type="spellEnd"/>
      <w:r w:rsidRPr="002329AE">
        <w:t xml:space="preserve"> и </w:t>
      </w:r>
      <w:proofErr w:type="spellStart"/>
      <w:r w:rsidRPr="002329AE">
        <w:t>симпатомиметиков</w:t>
      </w:r>
      <w:proofErr w:type="spellEnd"/>
      <w:r w:rsidRPr="002329AE">
        <w:t xml:space="preserve"> может спровоцировать развитие нарушений сердечного ритма, поэтому в этих случаях необходимо контролировать сердечную деятельность и ЭКГ пациента;</w:t>
      </w:r>
    </w:p>
    <w:p w14:paraId="59A829A0" w14:textId="77777777" w:rsidR="00EB6D88" w:rsidRDefault="001C1FEB" w:rsidP="00A87C38">
      <w:pPr>
        <w:pStyle w:val="3"/>
      </w:pPr>
      <w:r w:rsidRPr="002329AE">
        <w:t>- Као</w:t>
      </w:r>
      <w:r w:rsidR="00EB6D88" w:rsidRPr="002329AE">
        <w:t xml:space="preserve">лин, пектин и другие адсорбенты, </w:t>
      </w:r>
      <w:proofErr w:type="spellStart"/>
      <w:r w:rsidR="00EB6D88" w:rsidRPr="002329AE">
        <w:t>колестирамин</w:t>
      </w:r>
      <w:proofErr w:type="spellEnd"/>
      <w:r w:rsidR="00EB6D88" w:rsidRPr="002329AE">
        <w:t xml:space="preserve">, </w:t>
      </w:r>
      <w:proofErr w:type="spellStart"/>
      <w:r w:rsidR="00EB6D88" w:rsidRPr="002329AE">
        <w:t>колестипол</w:t>
      </w:r>
      <w:proofErr w:type="spellEnd"/>
      <w:r w:rsidR="00EB6D88" w:rsidRPr="002329AE">
        <w:t>, слабительные средства</w:t>
      </w:r>
      <w:r w:rsidR="00EB6D88">
        <w:t xml:space="preserve">, </w:t>
      </w:r>
      <w:proofErr w:type="spellStart"/>
      <w:r w:rsidR="00EB6D88">
        <w:t>неомицин</w:t>
      </w:r>
      <w:proofErr w:type="spellEnd"/>
      <w:r w:rsidR="00EB6D88">
        <w:t xml:space="preserve"> и </w:t>
      </w:r>
      <w:proofErr w:type="spellStart"/>
      <w:r w:rsidR="00EB6D88">
        <w:t>сульфасалазин</w:t>
      </w:r>
      <w:proofErr w:type="spellEnd"/>
      <w:r w:rsidR="00EB6D88">
        <w:t xml:space="preserve"> снижают всасывание </w:t>
      </w:r>
      <w:proofErr w:type="spellStart"/>
      <w:r w:rsidR="00EB6D88">
        <w:t>дигоксина</w:t>
      </w:r>
      <w:proofErr w:type="spellEnd"/>
      <w:r w:rsidR="00EB6D88">
        <w:t xml:space="preserve"> и тем самым снижают его лечебное действие</w:t>
      </w:r>
      <w:r w:rsidR="00EB6D88" w:rsidRPr="00EB6D88">
        <w:t>;</w:t>
      </w:r>
    </w:p>
    <w:p w14:paraId="2351CDF2" w14:textId="77777777" w:rsidR="00EB6D88" w:rsidRDefault="00EB6D88" w:rsidP="00A87C38">
      <w:pPr>
        <w:pStyle w:val="3"/>
      </w:pPr>
      <w:r>
        <w:t xml:space="preserve">- Блокаторы </w:t>
      </w:r>
      <w:r w:rsidRPr="00EB6D88">
        <w:t>“</w:t>
      </w:r>
      <w:r>
        <w:t>медленных</w:t>
      </w:r>
      <w:r w:rsidRPr="00EB6D88">
        <w:t>”</w:t>
      </w:r>
      <w:r>
        <w:t xml:space="preserve"> кальциевых каналов, </w:t>
      </w:r>
      <w:proofErr w:type="spellStart"/>
      <w:r>
        <w:t>каптоприл</w:t>
      </w:r>
      <w:proofErr w:type="spellEnd"/>
      <w:r>
        <w:t xml:space="preserve"> – увеличивают концентрацию </w:t>
      </w:r>
      <w:proofErr w:type="spellStart"/>
      <w:r>
        <w:t>дигоксина</w:t>
      </w:r>
      <w:proofErr w:type="spellEnd"/>
      <w:r>
        <w:t xml:space="preserve"> в плазме крови, поэтому, применяя их вместе, приходится уменьшать дозу </w:t>
      </w:r>
      <w:proofErr w:type="spellStart"/>
      <w:r>
        <w:t>дигоксина</w:t>
      </w:r>
      <w:proofErr w:type="spellEnd"/>
      <w:r>
        <w:t>, чтобы не проявилось токсическое воздействие препарата</w:t>
      </w:r>
      <w:r w:rsidRPr="00EB6D88">
        <w:t>;</w:t>
      </w:r>
    </w:p>
    <w:p w14:paraId="14568932" w14:textId="166592CC" w:rsidR="00EB6D88" w:rsidRDefault="00EB6D88" w:rsidP="00A87C38">
      <w:pPr>
        <w:pStyle w:val="3"/>
      </w:pPr>
      <w:r>
        <w:t xml:space="preserve">- </w:t>
      </w:r>
      <w:proofErr w:type="spellStart"/>
      <w:r>
        <w:t>Эдрофония</w:t>
      </w:r>
      <w:proofErr w:type="spellEnd"/>
      <w:r>
        <w:t xml:space="preserve"> хлорид (антихолинэстеразное средство) – повыша</w:t>
      </w:r>
      <w:r w:rsidR="00182037">
        <w:t>е</w:t>
      </w:r>
      <w:r>
        <w:t>т тонус парасимпатической нервной системы</w:t>
      </w:r>
      <w:r w:rsidR="009537AA">
        <w:t xml:space="preserve">, поэтому взаимодействие его с </w:t>
      </w:r>
      <w:proofErr w:type="spellStart"/>
      <w:r w:rsidR="009537AA">
        <w:t>дигоксином</w:t>
      </w:r>
      <w:proofErr w:type="spellEnd"/>
      <w:r w:rsidR="009537AA">
        <w:t xml:space="preserve"> может вызвать выраженную брадикардию</w:t>
      </w:r>
      <w:r w:rsidR="009537AA" w:rsidRPr="009537AA">
        <w:t>;</w:t>
      </w:r>
    </w:p>
    <w:p w14:paraId="56D9F331" w14:textId="77777777" w:rsidR="009537AA" w:rsidRDefault="009537AA" w:rsidP="00A87C38">
      <w:pPr>
        <w:pStyle w:val="3"/>
      </w:pPr>
      <w:r>
        <w:t xml:space="preserve">- Эритромицин – его действие улучшает всасывание </w:t>
      </w:r>
      <w:proofErr w:type="spellStart"/>
      <w:r>
        <w:t>дигоксина</w:t>
      </w:r>
      <w:proofErr w:type="spellEnd"/>
      <w:r>
        <w:t xml:space="preserve"> в кишечнике</w:t>
      </w:r>
      <w:r w:rsidRPr="009537AA">
        <w:t>;</w:t>
      </w:r>
    </w:p>
    <w:p w14:paraId="02538934" w14:textId="77777777" w:rsidR="009537AA" w:rsidRDefault="009537AA" w:rsidP="00A87C38">
      <w:pPr>
        <w:pStyle w:val="3"/>
      </w:pPr>
      <w:r>
        <w:t xml:space="preserve">- Гепарин – </w:t>
      </w:r>
      <w:proofErr w:type="spellStart"/>
      <w:r>
        <w:t>дигоксин</w:t>
      </w:r>
      <w:proofErr w:type="spellEnd"/>
      <w:r>
        <w:t xml:space="preserve"> снижает </w:t>
      </w:r>
      <w:proofErr w:type="spellStart"/>
      <w:r>
        <w:t>антикоагулянтное</w:t>
      </w:r>
      <w:proofErr w:type="spellEnd"/>
      <w:r>
        <w:t xml:space="preserve"> действие гепарина, поэтому дозу его приходится увеличивать</w:t>
      </w:r>
      <w:r w:rsidRPr="009537AA">
        <w:t>;</w:t>
      </w:r>
    </w:p>
    <w:p w14:paraId="59C340AB" w14:textId="77777777" w:rsidR="009537AA" w:rsidRDefault="009537AA" w:rsidP="00A87C38">
      <w:pPr>
        <w:pStyle w:val="3"/>
      </w:pPr>
      <w:r>
        <w:lastRenderedPageBreak/>
        <w:t xml:space="preserve">- </w:t>
      </w:r>
      <w:proofErr w:type="spellStart"/>
      <w:r>
        <w:t>Индометацин</w:t>
      </w:r>
      <w:proofErr w:type="spellEnd"/>
      <w:r>
        <w:t xml:space="preserve"> снижает выделение </w:t>
      </w:r>
      <w:proofErr w:type="spellStart"/>
      <w:r>
        <w:t>дигоксина</w:t>
      </w:r>
      <w:proofErr w:type="spellEnd"/>
      <w:r>
        <w:t>, поэтому возрастает опасность токсического воздействия препарата</w:t>
      </w:r>
      <w:r w:rsidRPr="009537AA">
        <w:t>;</w:t>
      </w:r>
    </w:p>
    <w:p w14:paraId="3294C37B" w14:textId="77777777" w:rsidR="009537AA" w:rsidRDefault="009537AA" w:rsidP="00A87C38">
      <w:pPr>
        <w:pStyle w:val="3"/>
      </w:pPr>
      <w:r>
        <w:t xml:space="preserve">- </w:t>
      </w:r>
      <w:r w:rsidR="00816AEF" w:rsidRPr="00B8494D">
        <w:t>Р</w:t>
      </w:r>
      <w:r>
        <w:t>аствор магния сульфата для инъекций применяют для снижения токсического воздействия сердечных гликозидов</w:t>
      </w:r>
      <w:r w:rsidRPr="009537AA">
        <w:t>;</w:t>
      </w:r>
    </w:p>
    <w:p w14:paraId="101C0A9F" w14:textId="77777777" w:rsidR="009537AA" w:rsidRDefault="009537AA" w:rsidP="00A87C38">
      <w:pPr>
        <w:pStyle w:val="3"/>
      </w:pPr>
      <w:r>
        <w:t xml:space="preserve">- </w:t>
      </w:r>
      <w:proofErr w:type="spellStart"/>
      <w:r>
        <w:t>Фенилбутазон</w:t>
      </w:r>
      <w:proofErr w:type="spellEnd"/>
      <w:r>
        <w:t xml:space="preserve"> – снижает концентрацию </w:t>
      </w:r>
      <w:proofErr w:type="spellStart"/>
      <w:r>
        <w:t>дигоксина</w:t>
      </w:r>
      <w:proofErr w:type="spellEnd"/>
      <w:r>
        <w:t xml:space="preserve"> в сыворотке крови</w:t>
      </w:r>
      <w:r w:rsidRPr="009537AA">
        <w:t>;</w:t>
      </w:r>
    </w:p>
    <w:p w14:paraId="1ED02D70" w14:textId="77777777" w:rsidR="009537AA" w:rsidRDefault="00816AEF" w:rsidP="00A87C38">
      <w:pPr>
        <w:pStyle w:val="3"/>
      </w:pPr>
      <w:r>
        <w:t xml:space="preserve">- </w:t>
      </w:r>
      <w:r w:rsidRPr="00B8494D">
        <w:t>П</w:t>
      </w:r>
      <w:r w:rsidR="009537AA" w:rsidRPr="00B8494D">
        <w:t>р</w:t>
      </w:r>
      <w:r w:rsidR="009537AA">
        <w:t xml:space="preserve">епараты солей калия, их нельзя принимать, если под воздействием </w:t>
      </w:r>
      <w:proofErr w:type="spellStart"/>
      <w:r w:rsidR="009537AA">
        <w:t>дигоксина</w:t>
      </w:r>
      <w:proofErr w:type="spellEnd"/>
      <w:r w:rsidR="009537AA">
        <w:t xml:space="preserve"> появились нарушения проводимости на ЭКГ. Однако соли калия часто назначают вместе с препаратами наперстянки для предупреждения нарушений ритма сердца</w:t>
      </w:r>
      <w:r w:rsidR="009537AA" w:rsidRPr="009537AA">
        <w:t>;</w:t>
      </w:r>
    </w:p>
    <w:p w14:paraId="336BD397" w14:textId="77777777" w:rsidR="009537AA" w:rsidRDefault="009537AA" w:rsidP="00A87C38">
      <w:pPr>
        <w:pStyle w:val="3"/>
      </w:pPr>
      <w:r>
        <w:t xml:space="preserve">- </w:t>
      </w:r>
      <w:proofErr w:type="spellStart"/>
      <w:r>
        <w:t>Хинидин</w:t>
      </w:r>
      <w:proofErr w:type="spellEnd"/>
      <w:r>
        <w:t xml:space="preserve"> и хинин – эти препараты могут резко увеличить концентрацию </w:t>
      </w:r>
      <w:proofErr w:type="spellStart"/>
      <w:r>
        <w:t>дигоксина</w:t>
      </w:r>
      <w:proofErr w:type="spellEnd"/>
      <w:r w:rsidRPr="009537AA">
        <w:t>;</w:t>
      </w:r>
    </w:p>
    <w:p w14:paraId="4AA120A5" w14:textId="77777777" w:rsidR="009537AA" w:rsidRDefault="009537AA" w:rsidP="00A87C38">
      <w:pPr>
        <w:pStyle w:val="3"/>
      </w:pPr>
      <w:r>
        <w:t xml:space="preserve">- </w:t>
      </w:r>
      <w:proofErr w:type="spellStart"/>
      <w:r>
        <w:t>Спиронолактон</w:t>
      </w:r>
      <w:proofErr w:type="spellEnd"/>
      <w:r>
        <w:t xml:space="preserve"> – снижает скорость выделения </w:t>
      </w:r>
      <w:proofErr w:type="spellStart"/>
      <w:r>
        <w:t>дигоксина</w:t>
      </w:r>
      <w:proofErr w:type="spellEnd"/>
      <w:r>
        <w:t>, поэтому приходится при совместном применении корректировать дозировку препарата</w:t>
      </w:r>
      <w:r w:rsidRPr="009537AA">
        <w:t>;</w:t>
      </w:r>
    </w:p>
    <w:p w14:paraId="226E3D26" w14:textId="77777777" w:rsidR="009537AA" w:rsidRDefault="009537AA" w:rsidP="00A87C38">
      <w:pPr>
        <w:pStyle w:val="3"/>
      </w:pPr>
      <w:r>
        <w:t>- Таллия хлорид (</w:t>
      </w:r>
      <w:r>
        <w:rPr>
          <w:lang w:val="en-US"/>
        </w:rPr>
        <w:t>TL</w:t>
      </w:r>
      <w:r w:rsidRPr="009537AA">
        <w:t xml:space="preserve"> 201) – </w:t>
      </w:r>
      <w:r>
        <w:t xml:space="preserve">при исследовании перфузии миокарда препаратами таллия, </w:t>
      </w:r>
      <w:proofErr w:type="spellStart"/>
      <w:r>
        <w:t>дигоксин</w:t>
      </w:r>
      <w:proofErr w:type="spellEnd"/>
      <w:r>
        <w:t xml:space="preserve"> снижает степень накопления таллия в местах поражения сердечной мышцы и искажает данные исследования</w:t>
      </w:r>
      <w:r w:rsidRPr="009537AA">
        <w:t>;</w:t>
      </w:r>
    </w:p>
    <w:p w14:paraId="7A2CA129" w14:textId="77777777" w:rsidR="009537AA" w:rsidRPr="009537AA" w:rsidRDefault="009537AA" w:rsidP="00A87C38">
      <w:pPr>
        <w:pStyle w:val="3"/>
      </w:pPr>
      <w:r>
        <w:t xml:space="preserve">- Гормоны щитовидной железы – при их назначении усиливается обмен веществ, поэтому дозу </w:t>
      </w:r>
      <w:proofErr w:type="spellStart"/>
      <w:r>
        <w:t>дигоксина</w:t>
      </w:r>
      <w:proofErr w:type="spellEnd"/>
      <w:r>
        <w:t xml:space="preserve"> обязательно следует увеличивать.</w:t>
      </w:r>
    </w:p>
    <w:p w14:paraId="1D2F913E" w14:textId="77777777" w:rsidR="006E6BD4" w:rsidRDefault="006E6BD4" w:rsidP="006E6BD4">
      <w:pPr>
        <w:pStyle w:val="3"/>
        <w:rPr>
          <w:b/>
          <w:lang w:eastAsia="ru-RU"/>
        </w:rPr>
      </w:pPr>
      <w:r>
        <w:rPr>
          <w:b/>
          <w:lang w:eastAsia="ru-RU"/>
        </w:rPr>
        <w:t>Особые указания</w:t>
      </w:r>
    </w:p>
    <w:p w14:paraId="44E3A801" w14:textId="77777777" w:rsidR="006E6BD4" w:rsidRDefault="0082351B" w:rsidP="006E6BD4">
      <w:pPr>
        <w:pStyle w:val="3"/>
        <w:rPr>
          <w:lang w:eastAsia="ru-RU"/>
        </w:rPr>
      </w:pPr>
      <w:r>
        <w:rPr>
          <w:lang w:eastAsia="ru-RU"/>
        </w:rPr>
        <w:t xml:space="preserve">Все время лечения </w:t>
      </w:r>
      <w:proofErr w:type="spellStart"/>
      <w:r>
        <w:rPr>
          <w:lang w:eastAsia="ru-RU"/>
        </w:rPr>
        <w:t>дигоксином</w:t>
      </w:r>
      <w:proofErr w:type="spellEnd"/>
      <w:r>
        <w:rPr>
          <w:lang w:eastAsia="ru-RU"/>
        </w:rPr>
        <w:t xml:space="preserve"> пациент должен находиться под наблюдением для того, чтобы избежать побочных эффектов, возникающих вследствие передозировки. </w:t>
      </w:r>
      <w:r w:rsidRPr="00B8494D">
        <w:rPr>
          <w:lang w:eastAsia="ru-RU"/>
        </w:rPr>
        <w:t>Пациентам</w:t>
      </w:r>
      <w:r w:rsidR="001C6F65" w:rsidRPr="00B8494D">
        <w:rPr>
          <w:lang w:eastAsia="ru-RU"/>
        </w:rPr>
        <w:t>,</w:t>
      </w:r>
      <w:r w:rsidRPr="00B8494D">
        <w:rPr>
          <w:lang w:eastAsia="ru-RU"/>
        </w:rPr>
        <w:t xml:space="preserve"> получающим препараты</w:t>
      </w:r>
      <w:r w:rsidR="001C6F65" w:rsidRPr="00B8494D">
        <w:rPr>
          <w:lang w:eastAsia="ru-RU"/>
        </w:rPr>
        <w:t xml:space="preserve"> наперстянки, нельзя назначать препараты </w:t>
      </w:r>
      <w:r w:rsidRPr="00B8494D">
        <w:rPr>
          <w:lang w:eastAsia="ru-RU"/>
        </w:rPr>
        <w:t>кальция для парентерального введения.</w:t>
      </w:r>
    </w:p>
    <w:p w14:paraId="6CB0F5D8" w14:textId="3B562FC3" w:rsidR="0082351B" w:rsidRDefault="0082351B" w:rsidP="006E6BD4">
      <w:pPr>
        <w:pStyle w:val="3"/>
        <w:rPr>
          <w:lang w:eastAsia="ru-RU"/>
        </w:rPr>
      </w:pPr>
      <w:r>
        <w:rPr>
          <w:lang w:eastAsia="ru-RU"/>
        </w:rPr>
        <w:t xml:space="preserve">Следует снизить дозу </w:t>
      </w:r>
      <w:proofErr w:type="spellStart"/>
      <w:r>
        <w:rPr>
          <w:lang w:eastAsia="ru-RU"/>
        </w:rPr>
        <w:t>дигоксина</w:t>
      </w:r>
      <w:proofErr w:type="spellEnd"/>
      <w:r>
        <w:rPr>
          <w:lang w:eastAsia="ru-RU"/>
        </w:rPr>
        <w:t xml:space="preserve"> пациентам с хроническим легочным </w:t>
      </w:r>
      <w:r w:rsidR="006A1212">
        <w:rPr>
          <w:lang w:eastAsia="ru-RU"/>
        </w:rPr>
        <w:t>сердцем, коронарной недостаточностью, нарушениями водно-электролитного баланса, почечной или печеночной недостаточностью</w:t>
      </w:r>
      <w:r w:rsidR="00ED0470">
        <w:rPr>
          <w:lang w:eastAsia="ru-RU"/>
        </w:rPr>
        <w:t>.</w:t>
      </w:r>
      <w:r w:rsidR="006A1212">
        <w:rPr>
          <w:lang w:eastAsia="ru-RU"/>
        </w:rPr>
        <w:t xml:space="preserve"> </w:t>
      </w:r>
      <w:r w:rsidR="00ED0470">
        <w:rPr>
          <w:lang w:eastAsia="ru-RU"/>
        </w:rPr>
        <w:t>У</w:t>
      </w:r>
      <w:r w:rsidR="006A1212">
        <w:rPr>
          <w:lang w:eastAsia="ru-RU"/>
        </w:rPr>
        <w:t xml:space="preserve"> пациентов пожилого возраста также требуется осторожный подбор дозы, особенно при наличии у них одного или нескольких вышеназванных состояний. При этом следует учитывать, что у этих пациентов даже при нарушении функции почек значения клиренса </w:t>
      </w:r>
      <w:proofErr w:type="spellStart"/>
      <w:r w:rsidR="006A1212">
        <w:rPr>
          <w:lang w:eastAsia="ru-RU"/>
        </w:rPr>
        <w:t>креатинина</w:t>
      </w:r>
      <w:proofErr w:type="spellEnd"/>
      <w:r w:rsidR="006A1212">
        <w:rPr>
          <w:lang w:eastAsia="ru-RU"/>
        </w:rPr>
        <w:t xml:space="preserve"> (КК) могут быть в пределах нормы, что связано со снижением мышечной массы и уменьшением синтеза </w:t>
      </w:r>
      <w:proofErr w:type="spellStart"/>
      <w:r w:rsidR="006A1212">
        <w:rPr>
          <w:lang w:eastAsia="ru-RU"/>
        </w:rPr>
        <w:t>креатинина</w:t>
      </w:r>
      <w:proofErr w:type="spellEnd"/>
      <w:r w:rsidR="006A1212">
        <w:rPr>
          <w:lang w:eastAsia="ru-RU"/>
        </w:rPr>
        <w:t xml:space="preserve">. Так как при почечной недостаточности нарушаются </w:t>
      </w:r>
      <w:r w:rsidR="00E70FA5">
        <w:rPr>
          <w:lang w:eastAsia="ru-RU"/>
        </w:rPr>
        <w:t>фармакокинетические</w:t>
      </w:r>
      <w:r w:rsidR="00470A42">
        <w:rPr>
          <w:lang w:eastAsia="ru-RU"/>
        </w:rPr>
        <w:t xml:space="preserve"> процессы</w:t>
      </w:r>
      <w:r w:rsidR="00E70FA5">
        <w:rPr>
          <w:lang w:eastAsia="ru-RU"/>
        </w:rPr>
        <w:t xml:space="preserve">, то подбор дозы следует проводить под контролем концентрации </w:t>
      </w:r>
      <w:proofErr w:type="spellStart"/>
      <w:r w:rsidR="00E70FA5">
        <w:rPr>
          <w:lang w:eastAsia="ru-RU"/>
        </w:rPr>
        <w:t>дигоксина</w:t>
      </w:r>
      <w:proofErr w:type="spellEnd"/>
      <w:r w:rsidR="00E70FA5">
        <w:rPr>
          <w:lang w:eastAsia="ru-RU"/>
        </w:rPr>
        <w:t xml:space="preserve"> в сыворотке крови. Если это неосуществимо, то можно воспользоваться следующими рекомендациями. В общем дозу следует сокращать приблизительно </w:t>
      </w:r>
      <w:r w:rsidR="001C6F65">
        <w:rPr>
          <w:lang w:eastAsia="ru-RU"/>
        </w:rPr>
        <w:t>на</w:t>
      </w:r>
      <w:r w:rsidR="00E70FA5">
        <w:rPr>
          <w:lang w:eastAsia="ru-RU"/>
        </w:rPr>
        <w:t xml:space="preserve"> столько же процентов, на сколько снижен клиренс </w:t>
      </w:r>
      <w:proofErr w:type="spellStart"/>
      <w:r w:rsidR="00E70FA5">
        <w:rPr>
          <w:lang w:eastAsia="ru-RU"/>
        </w:rPr>
        <w:t>креатинина</w:t>
      </w:r>
      <w:proofErr w:type="spellEnd"/>
      <w:r w:rsidR="00E70FA5">
        <w:rPr>
          <w:lang w:eastAsia="ru-RU"/>
        </w:rPr>
        <w:t xml:space="preserve">. Если КК не определялся, то его можно приблизительно рассчитать, исходя из показателя концентрации </w:t>
      </w:r>
      <w:proofErr w:type="spellStart"/>
      <w:r w:rsidR="00E70FA5">
        <w:rPr>
          <w:lang w:eastAsia="ru-RU"/>
        </w:rPr>
        <w:t>креатинина</w:t>
      </w:r>
      <w:proofErr w:type="spellEnd"/>
      <w:r w:rsidR="00E70FA5">
        <w:rPr>
          <w:lang w:eastAsia="ru-RU"/>
        </w:rPr>
        <w:t xml:space="preserve"> в сыворотке крови (ККС).</w:t>
      </w:r>
    </w:p>
    <w:p w14:paraId="5BD4443F" w14:textId="68BD51B3" w:rsidR="00E70FA5" w:rsidRDefault="00E70FA5" w:rsidP="006E6BD4">
      <w:pPr>
        <w:pStyle w:val="3"/>
        <w:rPr>
          <w:lang w:eastAsia="ru-RU"/>
        </w:rPr>
      </w:pPr>
      <w:r>
        <w:rPr>
          <w:lang w:eastAsia="ru-RU"/>
        </w:rPr>
        <w:lastRenderedPageBreak/>
        <w:t>Для мужчин по формуле (140-возраст)</w:t>
      </w:r>
      <w:r w:rsidR="00ED0470">
        <w:rPr>
          <w:lang w:eastAsia="ru-RU"/>
        </w:rPr>
        <w:t xml:space="preserve">: </w:t>
      </w:r>
      <w:r>
        <w:rPr>
          <w:lang w:eastAsia="ru-RU"/>
        </w:rPr>
        <w:t>ККС. Для женщин полученный результат следует умножить на 0,85.</w:t>
      </w:r>
    </w:p>
    <w:p w14:paraId="794B0A90" w14:textId="2C02E106" w:rsidR="00E70FA5" w:rsidRDefault="00E70FA5" w:rsidP="006E6BD4">
      <w:pPr>
        <w:pStyle w:val="3"/>
        <w:rPr>
          <w:lang w:eastAsia="ru-RU"/>
        </w:rPr>
      </w:pPr>
      <w:r>
        <w:rPr>
          <w:lang w:eastAsia="ru-RU"/>
        </w:rPr>
        <w:t xml:space="preserve">При тяжелой почечной недостаточности концентрацию </w:t>
      </w:r>
      <w:proofErr w:type="spellStart"/>
      <w:r>
        <w:rPr>
          <w:lang w:eastAsia="ru-RU"/>
        </w:rPr>
        <w:t>дигоксина</w:t>
      </w:r>
      <w:proofErr w:type="spellEnd"/>
      <w:r>
        <w:rPr>
          <w:lang w:eastAsia="ru-RU"/>
        </w:rPr>
        <w:t xml:space="preserve"> в сыворотке крови следует определять через каждые 2 недели, по крайней мере, в начальный период лечени</w:t>
      </w:r>
      <w:r w:rsidR="00470A42">
        <w:rPr>
          <w:lang w:eastAsia="ru-RU"/>
        </w:rPr>
        <w:t>я</w:t>
      </w:r>
      <w:r>
        <w:rPr>
          <w:lang w:eastAsia="ru-RU"/>
        </w:rPr>
        <w:t>.</w:t>
      </w:r>
    </w:p>
    <w:p w14:paraId="4EE122CF" w14:textId="77777777" w:rsidR="00E70FA5" w:rsidRPr="002329AE" w:rsidRDefault="00E70FA5" w:rsidP="006E6BD4">
      <w:pPr>
        <w:pStyle w:val="3"/>
        <w:rPr>
          <w:lang w:eastAsia="ru-RU"/>
        </w:rPr>
      </w:pPr>
      <w:r>
        <w:rPr>
          <w:lang w:eastAsia="ru-RU"/>
        </w:rPr>
        <w:t xml:space="preserve">При идиопатическом </w:t>
      </w:r>
      <w:proofErr w:type="spellStart"/>
      <w:r>
        <w:rPr>
          <w:lang w:eastAsia="ru-RU"/>
        </w:rPr>
        <w:t>субаортальном</w:t>
      </w:r>
      <w:proofErr w:type="spellEnd"/>
      <w:r>
        <w:rPr>
          <w:lang w:eastAsia="ru-RU"/>
        </w:rPr>
        <w:t xml:space="preserve"> стенозе (обструкция выходного тракта левого желудочка асимметрически гипертрофированной межжелудочковой перегородкой) назначение </w:t>
      </w:r>
      <w:proofErr w:type="spellStart"/>
      <w:r>
        <w:rPr>
          <w:lang w:eastAsia="ru-RU"/>
        </w:rPr>
        <w:t>дигоксина</w:t>
      </w:r>
      <w:proofErr w:type="spellEnd"/>
      <w:r>
        <w:rPr>
          <w:lang w:eastAsia="ru-RU"/>
        </w:rPr>
        <w:t xml:space="preserve"> приводит к нарастанию выраженности обструкции. </w:t>
      </w:r>
      <w:proofErr w:type="gramStart"/>
      <w:r>
        <w:rPr>
          <w:lang w:eastAsia="ru-RU"/>
        </w:rPr>
        <w:t xml:space="preserve">При </w:t>
      </w:r>
      <w:r w:rsidR="002329AE">
        <w:rPr>
          <w:lang w:eastAsia="ru-RU"/>
        </w:rPr>
        <w:t xml:space="preserve"> </w:t>
      </w:r>
      <w:r>
        <w:rPr>
          <w:lang w:eastAsia="ru-RU"/>
        </w:rPr>
        <w:t>выраженном</w:t>
      </w:r>
      <w:proofErr w:type="gramEnd"/>
      <w:r>
        <w:rPr>
          <w:lang w:eastAsia="ru-RU"/>
        </w:rPr>
        <w:t xml:space="preserve"> митральном стенозе и </w:t>
      </w:r>
      <w:proofErr w:type="spellStart"/>
      <w:r>
        <w:rPr>
          <w:lang w:eastAsia="ru-RU"/>
        </w:rPr>
        <w:t>нормо</w:t>
      </w:r>
      <w:proofErr w:type="spellEnd"/>
      <w:r>
        <w:rPr>
          <w:lang w:eastAsia="ru-RU"/>
        </w:rPr>
        <w:t xml:space="preserve">- или брадикардии сердечная недостаточность развивается вследствие снижения диастолического наполнения левого желудочка. </w:t>
      </w:r>
      <w:proofErr w:type="spellStart"/>
      <w:r>
        <w:rPr>
          <w:lang w:eastAsia="ru-RU"/>
        </w:rPr>
        <w:t>Дигоксин</w:t>
      </w:r>
      <w:proofErr w:type="spellEnd"/>
      <w:r>
        <w:rPr>
          <w:lang w:eastAsia="ru-RU"/>
        </w:rPr>
        <w:t xml:space="preserve">, увеличивая сократимость миокарда правого желудочка, вызывает дальнейшее повышение давления в системе легочной артерии, что </w:t>
      </w:r>
      <w:r w:rsidR="00D90982">
        <w:rPr>
          <w:lang w:eastAsia="ru-RU"/>
        </w:rPr>
        <w:t xml:space="preserve">может спровоцировать отек легких или усугубить левожелудочковую недостаточность. Пациентам с митральным стенозом </w:t>
      </w:r>
      <w:r w:rsidR="00D90982" w:rsidRPr="002329AE">
        <w:rPr>
          <w:lang w:eastAsia="ru-RU"/>
        </w:rPr>
        <w:t xml:space="preserve">сердечные гликозиды назначают при присоединении </w:t>
      </w:r>
      <w:proofErr w:type="gramStart"/>
      <w:r w:rsidR="00D90982" w:rsidRPr="002329AE">
        <w:rPr>
          <w:lang w:eastAsia="ru-RU"/>
        </w:rPr>
        <w:t xml:space="preserve">правожелудочковой </w:t>
      </w:r>
      <w:r w:rsidR="002329AE" w:rsidRPr="002329AE">
        <w:rPr>
          <w:lang w:eastAsia="ru-RU"/>
        </w:rPr>
        <w:t xml:space="preserve"> </w:t>
      </w:r>
      <w:r w:rsidR="00D90982" w:rsidRPr="002329AE">
        <w:rPr>
          <w:lang w:eastAsia="ru-RU"/>
        </w:rPr>
        <w:t>недостаточности</w:t>
      </w:r>
      <w:proofErr w:type="gramEnd"/>
      <w:r w:rsidR="00D90982" w:rsidRPr="002329AE">
        <w:rPr>
          <w:lang w:eastAsia="ru-RU"/>
        </w:rPr>
        <w:t xml:space="preserve">, либо при наличии </w:t>
      </w:r>
      <w:proofErr w:type="spellStart"/>
      <w:r w:rsidR="00E36843" w:rsidRPr="002329AE">
        <w:t>тахисистолической</w:t>
      </w:r>
      <w:proofErr w:type="spellEnd"/>
      <w:r w:rsidR="00E36843" w:rsidRPr="002329AE">
        <w:t xml:space="preserve"> фибрилляции предсердий. </w:t>
      </w:r>
      <w:r w:rsidR="00D90982" w:rsidRPr="002329AE">
        <w:rPr>
          <w:lang w:eastAsia="ru-RU"/>
        </w:rPr>
        <w:t xml:space="preserve">У </w:t>
      </w:r>
      <w:r w:rsidR="002329AE" w:rsidRPr="002329AE">
        <w:rPr>
          <w:lang w:eastAsia="ru-RU"/>
        </w:rPr>
        <w:t xml:space="preserve">                                 </w:t>
      </w:r>
      <w:r w:rsidR="00D90982" w:rsidRPr="002329AE">
        <w:rPr>
          <w:lang w:eastAsia="ru-RU"/>
        </w:rPr>
        <w:t xml:space="preserve">пациентов с </w:t>
      </w:r>
      <w:r w:rsidR="001C1FEB" w:rsidRPr="002329AE">
        <w:rPr>
          <w:lang w:eastAsia="ru-RU"/>
        </w:rPr>
        <w:t>атриовентрикулярной</w:t>
      </w:r>
      <w:r w:rsidR="00D90982" w:rsidRPr="002329AE">
        <w:rPr>
          <w:lang w:eastAsia="ru-RU"/>
        </w:rPr>
        <w:t xml:space="preserve">-блокадой </w:t>
      </w:r>
      <w:r w:rsidR="00D90982" w:rsidRPr="002329AE">
        <w:rPr>
          <w:lang w:val="en-US" w:eastAsia="ru-RU"/>
        </w:rPr>
        <w:t>II</w:t>
      </w:r>
      <w:r w:rsidR="00D90982" w:rsidRPr="002329AE">
        <w:rPr>
          <w:lang w:eastAsia="ru-RU"/>
        </w:rPr>
        <w:t xml:space="preserve"> степени назначение сердечных гликозидов может ее усугубить </w:t>
      </w:r>
      <w:r w:rsidR="00493DF1" w:rsidRPr="002329AE">
        <w:rPr>
          <w:lang w:eastAsia="ru-RU"/>
        </w:rPr>
        <w:t xml:space="preserve">и привести к развитию приступа </w:t>
      </w:r>
      <w:proofErr w:type="spellStart"/>
      <w:r w:rsidR="00493DF1" w:rsidRPr="002329AE">
        <w:rPr>
          <w:lang w:eastAsia="ru-RU"/>
        </w:rPr>
        <w:t>Морганьи</w:t>
      </w:r>
      <w:proofErr w:type="spellEnd"/>
      <w:r w:rsidR="00493DF1" w:rsidRPr="002329AE">
        <w:rPr>
          <w:lang w:eastAsia="ru-RU"/>
        </w:rPr>
        <w:t xml:space="preserve">-Адамса-Стокса. </w:t>
      </w:r>
      <w:r w:rsidR="002329AE" w:rsidRPr="002329AE">
        <w:rPr>
          <w:lang w:eastAsia="ru-RU"/>
        </w:rPr>
        <w:t xml:space="preserve"> </w:t>
      </w:r>
      <w:r w:rsidR="00493DF1" w:rsidRPr="002329AE">
        <w:rPr>
          <w:lang w:eastAsia="ru-RU"/>
        </w:rPr>
        <w:t xml:space="preserve">Назначение сердечных гликозидов при </w:t>
      </w:r>
      <w:r w:rsidR="001C1FEB" w:rsidRPr="002329AE">
        <w:rPr>
          <w:lang w:eastAsia="ru-RU"/>
        </w:rPr>
        <w:t>атриовентрикулярной</w:t>
      </w:r>
      <w:r w:rsidR="00493DF1" w:rsidRPr="002329AE">
        <w:rPr>
          <w:lang w:eastAsia="ru-RU"/>
        </w:rPr>
        <w:t xml:space="preserve"> блокаде </w:t>
      </w:r>
      <w:r w:rsidR="00493DF1" w:rsidRPr="002329AE">
        <w:rPr>
          <w:lang w:val="en-US" w:eastAsia="ru-RU"/>
        </w:rPr>
        <w:t>I</w:t>
      </w:r>
      <w:r w:rsidR="00493DF1" w:rsidRPr="002329AE">
        <w:rPr>
          <w:lang w:eastAsia="ru-RU"/>
        </w:rPr>
        <w:t xml:space="preserve"> ст</w:t>
      </w:r>
      <w:r w:rsidR="001C1FEB" w:rsidRPr="002329AE">
        <w:rPr>
          <w:lang w:eastAsia="ru-RU"/>
        </w:rPr>
        <w:t>епени</w:t>
      </w:r>
      <w:r w:rsidR="00493DF1" w:rsidRPr="002329AE">
        <w:rPr>
          <w:lang w:eastAsia="ru-RU"/>
        </w:rPr>
        <w:t xml:space="preserve"> требует осторожности, регулярного контроля ЭКГ, а в ряде случаев – фармакологической профилактики средствами, улучшающими </w:t>
      </w:r>
      <w:r w:rsidR="001C1FEB" w:rsidRPr="002329AE">
        <w:rPr>
          <w:lang w:eastAsia="ru-RU"/>
        </w:rPr>
        <w:t>атриовентрикулярную</w:t>
      </w:r>
      <w:r w:rsidR="00493DF1" w:rsidRPr="002329AE">
        <w:rPr>
          <w:lang w:eastAsia="ru-RU"/>
        </w:rPr>
        <w:t xml:space="preserve"> проводимость.</w:t>
      </w:r>
    </w:p>
    <w:p w14:paraId="2E0139A4" w14:textId="77777777" w:rsidR="00493DF1" w:rsidRDefault="00493DF1" w:rsidP="006E6BD4">
      <w:pPr>
        <w:pStyle w:val="3"/>
        <w:rPr>
          <w:lang w:eastAsia="ru-RU"/>
        </w:rPr>
      </w:pPr>
      <w:proofErr w:type="spellStart"/>
      <w:r w:rsidRPr="002329AE">
        <w:rPr>
          <w:lang w:eastAsia="ru-RU"/>
        </w:rPr>
        <w:t>Дигоксин</w:t>
      </w:r>
      <w:proofErr w:type="spellEnd"/>
      <w:r w:rsidRPr="002329AE">
        <w:rPr>
          <w:lang w:eastAsia="ru-RU"/>
        </w:rPr>
        <w:t xml:space="preserve"> при синдроме Вольфа-Паркинсона-Уайта, замедляя </w:t>
      </w:r>
      <w:r w:rsidR="001C1FEB" w:rsidRPr="002329AE">
        <w:rPr>
          <w:lang w:eastAsia="ru-RU"/>
        </w:rPr>
        <w:t>атриовентрикулярную</w:t>
      </w:r>
      <w:r w:rsidRPr="002329AE">
        <w:rPr>
          <w:lang w:eastAsia="ru-RU"/>
        </w:rPr>
        <w:t xml:space="preserve"> проводимость, способствует проведению импульсов через дополн</w:t>
      </w:r>
      <w:r w:rsidR="00E36843" w:rsidRPr="002329AE">
        <w:rPr>
          <w:lang w:eastAsia="ru-RU"/>
        </w:rPr>
        <w:t>ительные пути проведения в обхо</w:t>
      </w:r>
      <w:r w:rsidRPr="002329AE">
        <w:rPr>
          <w:lang w:eastAsia="ru-RU"/>
        </w:rPr>
        <w:t xml:space="preserve">д </w:t>
      </w:r>
      <w:r w:rsidR="00D96EA6" w:rsidRPr="002329AE">
        <w:rPr>
          <w:lang w:eastAsia="ru-RU"/>
        </w:rPr>
        <w:t>атриовентрикулярного</w:t>
      </w:r>
      <w:r w:rsidRPr="002329AE">
        <w:rPr>
          <w:lang w:eastAsia="ru-RU"/>
        </w:rPr>
        <w:t xml:space="preserve"> узла и, тем самым, провоцирует развитие пароксизмальной тахикардии. Вероятность возникновения </w:t>
      </w:r>
      <w:proofErr w:type="spellStart"/>
      <w:r w:rsidRPr="002329AE">
        <w:rPr>
          <w:lang w:eastAsia="ru-RU"/>
        </w:rPr>
        <w:t>гликозидной</w:t>
      </w:r>
      <w:proofErr w:type="spellEnd"/>
      <w:r w:rsidRPr="002329AE">
        <w:rPr>
          <w:lang w:eastAsia="ru-RU"/>
        </w:rPr>
        <w:t xml:space="preserve"> интоксикации</w:t>
      </w:r>
      <w:r>
        <w:rPr>
          <w:lang w:eastAsia="ru-RU"/>
        </w:rPr>
        <w:t xml:space="preserve"> возрастает при </w:t>
      </w:r>
      <w:proofErr w:type="spellStart"/>
      <w:r>
        <w:rPr>
          <w:lang w:eastAsia="ru-RU"/>
        </w:rPr>
        <w:t>гипокалиемии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гипомагниемии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гиперкальциемии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гипернатриемии</w:t>
      </w:r>
      <w:proofErr w:type="spellEnd"/>
      <w:r>
        <w:rPr>
          <w:lang w:eastAsia="ru-RU"/>
        </w:rPr>
        <w:t xml:space="preserve">, гипотиреозе, выраженной дилатации полостей сердца, </w:t>
      </w:r>
      <w:r w:rsidR="00E5017C">
        <w:rPr>
          <w:lang w:eastAsia="ru-RU"/>
        </w:rPr>
        <w:t>«</w:t>
      </w:r>
      <w:r>
        <w:rPr>
          <w:lang w:eastAsia="ru-RU"/>
        </w:rPr>
        <w:t>легочном</w:t>
      </w:r>
      <w:r w:rsidR="00E5017C">
        <w:rPr>
          <w:lang w:eastAsia="ru-RU"/>
        </w:rPr>
        <w:t>»</w:t>
      </w:r>
      <w:r>
        <w:rPr>
          <w:lang w:eastAsia="ru-RU"/>
        </w:rPr>
        <w:t xml:space="preserve"> сердце, миокардите и у пациентов пожилого возраста.</w:t>
      </w:r>
    </w:p>
    <w:p w14:paraId="000D0546" w14:textId="77777777" w:rsidR="00493DF1" w:rsidRDefault="00493DF1" w:rsidP="006E6BD4">
      <w:pPr>
        <w:pStyle w:val="3"/>
        <w:rPr>
          <w:lang w:eastAsia="ru-RU"/>
        </w:rPr>
      </w:pPr>
      <w:r>
        <w:rPr>
          <w:lang w:eastAsia="ru-RU"/>
        </w:rPr>
        <w:t xml:space="preserve">В качестве одного из методов контроля за содержанием </w:t>
      </w:r>
      <w:proofErr w:type="spellStart"/>
      <w:r>
        <w:rPr>
          <w:lang w:eastAsia="ru-RU"/>
        </w:rPr>
        <w:t>дигитализации</w:t>
      </w:r>
      <w:proofErr w:type="spellEnd"/>
      <w:r>
        <w:rPr>
          <w:lang w:eastAsia="ru-RU"/>
        </w:rPr>
        <w:t xml:space="preserve"> при назначении сердечных гликозидов проводят мониторинг их плазменной концентрации.</w:t>
      </w:r>
    </w:p>
    <w:p w14:paraId="4663AA6B" w14:textId="60674B50" w:rsidR="00493DF1" w:rsidRDefault="00493DF1" w:rsidP="006E6BD4">
      <w:pPr>
        <w:pStyle w:val="3"/>
        <w:rPr>
          <w:lang w:eastAsia="ru-RU"/>
        </w:rPr>
      </w:pPr>
      <w:r>
        <w:rPr>
          <w:lang w:eastAsia="ru-RU"/>
        </w:rPr>
        <w:t>Одна таблетка препарата содержит 0,005 ХЕ, что необходимо учитывать при применении у пациентов с сахарным диабетом.</w:t>
      </w:r>
    </w:p>
    <w:p w14:paraId="788DAE77" w14:textId="77777777" w:rsidR="00493DF1" w:rsidRDefault="00493DF1" w:rsidP="006E6BD4">
      <w:pPr>
        <w:pStyle w:val="3"/>
        <w:rPr>
          <w:b/>
          <w:lang w:eastAsia="ru-RU"/>
        </w:rPr>
      </w:pPr>
      <w:r w:rsidRPr="00493DF1">
        <w:rPr>
          <w:b/>
          <w:lang w:eastAsia="ru-RU"/>
        </w:rPr>
        <w:t>Влияние на способность управлять транспортными средствами и механизмами</w:t>
      </w:r>
    </w:p>
    <w:p w14:paraId="1CC1E624" w14:textId="75C136B8" w:rsidR="005862F3" w:rsidRPr="00493DF1" w:rsidRDefault="00493DF1" w:rsidP="006E6BD4">
      <w:pPr>
        <w:pStyle w:val="3"/>
        <w:rPr>
          <w:lang w:eastAsia="ru-RU"/>
        </w:rPr>
      </w:pPr>
      <w:r>
        <w:rPr>
          <w:lang w:eastAsia="ru-RU"/>
        </w:rPr>
        <w:t>В период лечения препаратом необходимо соблюдать осторожность при управлении транспортными средствами и занятии другими потенциально опасными видами деятельности, требующими повышенной концентрации внимания и</w:t>
      </w:r>
      <w:r w:rsidR="002C3F52">
        <w:rPr>
          <w:lang w:eastAsia="ru-RU"/>
        </w:rPr>
        <w:t xml:space="preserve"> быстроты психомоторных реакций.</w:t>
      </w:r>
    </w:p>
    <w:p w14:paraId="55A6B709" w14:textId="77777777" w:rsidR="006E6BD4" w:rsidRDefault="006E6BD4" w:rsidP="006E6BD4">
      <w:pPr>
        <w:pStyle w:val="3"/>
        <w:rPr>
          <w:b/>
          <w:bCs/>
          <w:color w:val="auto"/>
        </w:rPr>
      </w:pPr>
      <w:r w:rsidRPr="003420D2">
        <w:rPr>
          <w:b/>
          <w:bCs/>
          <w:color w:val="auto"/>
        </w:rPr>
        <w:lastRenderedPageBreak/>
        <w:t>Форма выпуска</w:t>
      </w:r>
    </w:p>
    <w:p w14:paraId="77C8CACE" w14:textId="77777777" w:rsidR="001D03B7" w:rsidRPr="001D03B7" w:rsidRDefault="001D03B7" w:rsidP="006E6BD4">
      <w:pPr>
        <w:pStyle w:val="3"/>
        <w:rPr>
          <w:bCs/>
          <w:color w:val="auto"/>
        </w:rPr>
      </w:pPr>
      <w:r w:rsidRPr="002329AE">
        <w:rPr>
          <w:bCs/>
          <w:color w:val="auto"/>
        </w:rPr>
        <w:t>Таблетки 0,25 мг.</w:t>
      </w:r>
    </w:p>
    <w:p w14:paraId="6D19284F" w14:textId="77777777" w:rsidR="005862F3" w:rsidRPr="005862F3" w:rsidRDefault="005862F3" w:rsidP="00E5017C">
      <w:pPr>
        <w:spacing w:after="0" w:line="360" w:lineRule="auto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5862F3">
        <w:rPr>
          <w:rFonts w:ascii="Times New Roman" w:eastAsia="Times New Roman" w:hAnsi="Times New Roman"/>
          <w:bCs/>
          <w:sz w:val="24"/>
          <w:szCs w:val="24"/>
        </w:rPr>
        <w:t xml:space="preserve">По     10    таблеток    в    контурную    ячейковую    упаковку    из    пленки </w:t>
      </w:r>
      <w:proofErr w:type="gramStart"/>
      <w:r w:rsidRPr="005862F3">
        <w:rPr>
          <w:rFonts w:ascii="Times New Roman" w:eastAsia="Times New Roman" w:hAnsi="Times New Roman"/>
          <w:bCs/>
          <w:sz w:val="24"/>
          <w:szCs w:val="24"/>
        </w:rPr>
        <w:t>поливинилхлоридной  и</w:t>
      </w:r>
      <w:proofErr w:type="gramEnd"/>
      <w:r w:rsidRPr="005862F3">
        <w:rPr>
          <w:rFonts w:ascii="Times New Roman" w:eastAsia="Times New Roman" w:hAnsi="Times New Roman"/>
          <w:bCs/>
          <w:sz w:val="24"/>
          <w:szCs w:val="24"/>
        </w:rPr>
        <w:t xml:space="preserve">   фольги алюминиевой печатной лакиро</w:t>
      </w:r>
      <w:r>
        <w:rPr>
          <w:rFonts w:ascii="Times New Roman" w:eastAsia="Times New Roman" w:hAnsi="Times New Roman"/>
          <w:bCs/>
          <w:sz w:val="24"/>
          <w:szCs w:val="24"/>
        </w:rPr>
        <w:t>ванной.</w:t>
      </w:r>
    </w:p>
    <w:p w14:paraId="792C590E" w14:textId="77777777" w:rsidR="009D0B41" w:rsidRPr="009D0B41" w:rsidRDefault="009D0B41" w:rsidP="009D0B41">
      <w:p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9D0B41">
        <w:rPr>
          <w:rFonts w:ascii="Times New Roman" w:eastAsia="Times New Roman" w:hAnsi="Times New Roman"/>
          <w:bCs/>
          <w:sz w:val="24"/>
          <w:szCs w:val="24"/>
        </w:rPr>
        <w:t>По 1, 2, 3, 4, 5 контурных ячейковых упаковок вместе с инструкцией по применению помещают в пачку из картона.</w:t>
      </w:r>
    </w:p>
    <w:p w14:paraId="35615FC1" w14:textId="77777777" w:rsidR="009D0B41" w:rsidRDefault="009D0B41" w:rsidP="009D0B41">
      <w:p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9D0B41">
        <w:rPr>
          <w:rFonts w:ascii="Times New Roman" w:eastAsia="Times New Roman" w:hAnsi="Times New Roman"/>
          <w:bCs/>
          <w:sz w:val="24"/>
          <w:szCs w:val="24"/>
        </w:rPr>
        <w:t>100, 200, 300, 400, 600, 800 контурных ячейковых упаковок с равным количеством инструкций по медицинскому применению помещают в коробку картонную (Для стационаров).</w:t>
      </w:r>
    </w:p>
    <w:p w14:paraId="73A337B7" w14:textId="77777777" w:rsidR="006E6BD4" w:rsidRPr="002329AE" w:rsidRDefault="006E6BD4" w:rsidP="009D0B41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329AE">
        <w:rPr>
          <w:rFonts w:ascii="Times New Roman" w:hAnsi="Times New Roman"/>
          <w:b/>
          <w:sz w:val="24"/>
          <w:szCs w:val="24"/>
        </w:rPr>
        <w:t>Условия хранения</w:t>
      </w:r>
    </w:p>
    <w:p w14:paraId="579D680E" w14:textId="77777777" w:rsidR="00E5017C" w:rsidRDefault="00E5017C" w:rsidP="006E6BD4">
      <w:pPr>
        <w:pStyle w:val="a4"/>
        <w:ind w:right="-5"/>
        <w:jc w:val="both"/>
        <w:rPr>
          <w:sz w:val="24"/>
          <w:szCs w:val="24"/>
        </w:rPr>
      </w:pPr>
      <w:proofErr w:type="gramStart"/>
      <w:r w:rsidRPr="002329AE">
        <w:rPr>
          <w:sz w:val="24"/>
          <w:szCs w:val="24"/>
        </w:rPr>
        <w:t>В  защищенном</w:t>
      </w:r>
      <w:proofErr w:type="gramEnd"/>
      <w:r w:rsidRPr="002329AE">
        <w:rPr>
          <w:sz w:val="24"/>
          <w:szCs w:val="24"/>
        </w:rPr>
        <w:t xml:space="preserve"> от света месте, при температуре не выше 25 °С.</w:t>
      </w:r>
    </w:p>
    <w:p w14:paraId="4CADD599" w14:textId="77777777" w:rsidR="006E6BD4" w:rsidRDefault="006E6BD4" w:rsidP="006E6BD4">
      <w:pPr>
        <w:pStyle w:val="a4"/>
        <w:ind w:right="-5"/>
        <w:jc w:val="both"/>
        <w:rPr>
          <w:sz w:val="24"/>
        </w:rPr>
      </w:pPr>
      <w:r>
        <w:rPr>
          <w:rStyle w:val="a3"/>
          <w:rFonts w:eastAsia="Calibri"/>
          <w:color w:val="000000"/>
          <w:sz w:val="24"/>
        </w:rPr>
        <w:t>Хранить в местах, недоступных для детей.</w:t>
      </w:r>
    </w:p>
    <w:p w14:paraId="43E839BB" w14:textId="77777777" w:rsidR="006E6BD4" w:rsidRDefault="006E6BD4" w:rsidP="006E6BD4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годности</w:t>
      </w:r>
    </w:p>
    <w:p w14:paraId="3EFB8B08" w14:textId="77777777" w:rsidR="006E6BD4" w:rsidRDefault="0093164B" w:rsidP="006E6BD4">
      <w:pPr>
        <w:pStyle w:val="Style5"/>
        <w:widowControl/>
        <w:autoSpaceDE/>
        <w:autoSpaceDN/>
        <w:adjustRightInd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6E6BD4">
        <w:rPr>
          <w:rFonts w:eastAsia="Calibri"/>
          <w:lang w:eastAsia="en-US"/>
        </w:rPr>
        <w:t xml:space="preserve"> года. Не применять по истечении срока годности.</w:t>
      </w:r>
    </w:p>
    <w:p w14:paraId="5311926A" w14:textId="77777777" w:rsidR="006E6BD4" w:rsidRDefault="006E6BD4" w:rsidP="006E6BD4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26F38">
        <w:rPr>
          <w:rFonts w:ascii="Times New Roman" w:hAnsi="Times New Roman"/>
          <w:b/>
          <w:bCs/>
          <w:spacing w:val="-1"/>
          <w:sz w:val="24"/>
          <w:szCs w:val="24"/>
        </w:rPr>
        <w:t>Условия отпуска</w:t>
      </w:r>
    </w:p>
    <w:p w14:paraId="642AC48C" w14:textId="77777777" w:rsidR="006E6BD4" w:rsidRDefault="00E5017C" w:rsidP="006E6BD4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329AE">
        <w:rPr>
          <w:rFonts w:ascii="Times New Roman" w:hAnsi="Times New Roman"/>
          <w:sz w:val="24"/>
          <w:szCs w:val="24"/>
        </w:rPr>
        <w:t>Отпускают по рецепту.</w:t>
      </w:r>
    </w:p>
    <w:p w14:paraId="72A71060" w14:textId="77777777" w:rsidR="006E6BD4" w:rsidRDefault="006E6BD4" w:rsidP="006E6BD4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Производитель</w:t>
      </w:r>
      <w:r w:rsidRPr="006E6BD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организация, принимающая претензии:</w:t>
      </w:r>
      <w:bookmarkEnd w:id="0"/>
    </w:p>
    <w:p w14:paraId="0E2C1E7A" w14:textId="77777777" w:rsidR="006E6BD4" w:rsidRPr="00B2511A" w:rsidRDefault="0093164B" w:rsidP="006E6BD4">
      <w:pPr>
        <w:pStyle w:val="Default"/>
        <w:spacing w:line="360" w:lineRule="auto"/>
        <w:rPr>
          <w:szCs w:val="23"/>
        </w:rPr>
      </w:pPr>
      <w:r>
        <w:rPr>
          <w:szCs w:val="23"/>
        </w:rPr>
        <w:t>АО «Усолье-Сибирский х</w:t>
      </w:r>
      <w:r w:rsidR="006E6BD4" w:rsidRPr="00B2511A">
        <w:rPr>
          <w:szCs w:val="23"/>
        </w:rPr>
        <w:t xml:space="preserve">имфармзавод» </w:t>
      </w:r>
    </w:p>
    <w:p w14:paraId="4D99DB80" w14:textId="77777777" w:rsidR="006E6BD4" w:rsidRPr="00B2511A" w:rsidRDefault="006E6BD4" w:rsidP="006E6BD4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>Россия, 665462, Иркутская область, г.</w:t>
      </w:r>
      <w:r w:rsidR="001C6F65">
        <w:rPr>
          <w:szCs w:val="23"/>
        </w:rPr>
        <w:t xml:space="preserve"> </w:t>
      </w:r>
      <w:r w:rsidRPr="00B2511A">
        <w:rPr>
          <w:szCs w:val="23"/>
        </w:rPr>
        <w:t xml:space="preserve">Усолье-Сибирское, северо-западная часть города, с северо-восточной стороны, в 115 м от Прибайкальской автодороги. </w:t>
      </w:r>
    </w:p>
    <w:p w14:paraId="2286ABA6" w14:textId="77777777" w:rsidR="006E6BD4" w:rsidRPr="00B2511A" w:rsidRDefault="006E6BD4" w:rsidP="006E6BD4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4"/>
        </w:rPr>
      </w:pPr>
      <w:r w:rsidRPr="00B2511A">
        <w:rPr>
          <w:rFonts w:ascii="Times New Roman" w:hAnsi="Times New Roman"/>
          <w:sz w:val="24"/>
          <w:szCs w:val="23"/>
        </w:rPr>
        <w:t>тел./факс: (39543) 5-89-10, 5-89-08</w:t>
      </w:r>
    </w:p>
    <w:p w14:paraId="2373B33B" w14:textId="77777777" w:rsidR="006E6BD4" w:rsidRDefault="006E6BD4" w:rsidP="006E6BD4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A1E3A35" w14:textId="77777777" w:rsidR="00E339A0" w:rsidRDefault="00E339A0" w:rsidP="006E6BD4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AC0627" w14:textId="77777777" w:rsidR="00E339A0" w:rsidRDefault="00E339A0" w:rsidP="006E6BD4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7880F3F" w14:textId="77777777" w:rsidR="006E6BD4" w:rsidRPr="00E339A0" w:rsidRDefault="006E6BD4" w:rsidP="006E6BD4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14:paraId="39BDDAB9" w14:textId="77777777" w:rsidR="006E6BD4" w:rsidRDefault="006E6BD4" w:rsidP="006E6BD4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sectPr w:rsidR="006E6BD4" w:rsidSect="0093164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30F4B" w14:textId="77777777" w:rsidR="00765E0E" w:rsidRDefault="00765E0E" w:rsidP="00A50697">
      <w:pPr>
        <w:spacing w:after="0" w:line="240" w:lineRule="auto"/>
      </w:pPr>
      <w:r>
        <w:separator/>
      </w:r>
    </w:p>
  </w:endnote>
  <w:endnote w:type="continuationSeparator" w:id="0">
    <w:p w14:paraId="4CEFB8FF" w14:textId="77777777" w:rsidR="00765E0E" w:rsidRDefault="00765E0E" w:rsidP="00A5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3D614" w14:textId="77777777" w:rsidR="00765E0E" w:rsidRDefault="00765E0E" w:rsidP="00A50697">
      <w:pPr>
        <w:spacing w:after="0" w:line="240" w:lineRule="auto"/>
      </w:pPr>
      <w:r>
        <w:separator/>
      </w:r>
    </w:p>
  </w:footnote>
  <w:footnote w:type="continuationSeparator" w:id="0">
    <w:p w14:paraId="7E2D4663" w14:textId="77777777" w:rsidR="00765E0E" w:rsidRDefault="00765E0E" w:rsidP="00A5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554129"/>
      <w:docPartObj>
        <w:docPartGallery w:val="Page Numbers (Top of Page)"/>
        <w:docPartUnique/>
      </w:docPartObj>
    </w:sdtPr>
    <w:sdtEndPr/>
    <w:sdtContent>
      <w:p w14:paraId="162632F6" w14:textId="23EE63F8" w:rsidR="0093164B" w:rsidRDefault="0093164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0D8">
          <w:rPr>
            <w:noProof/>
          </w:rPr>
          <w:t>10</w:t>
        </w:r>
        <w:r>
          <w:fldChar w:fldCharType="end"/>
        </w:r>
      </w:p>
    </w:sdtContent>
  </w:sdt>
  <w:p w14:paraId="527DB61F" w14:textId="77777777" w:rsidR="00A50697" w:rsidRDefault="00A506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D4"/>
    <w:rsid w:val="000A43AB"/>
    <w:rsid w:val="000B68E1"/>
    <w:rsid w:val="00106AC9"/>
    <w:rsid w:val="00164F7C"/>
    <w:rsid w:val="00182037"/>
    <w:rsid w:val="001B7EDD"/>
    <w:rsid w:val="001C1FEB"/>
    <w:rsid w:val="001C6F65"/>
    <w:rsid w:val="001D03B7"/>
    <w:rsid w:val="002329AE"/>
    <w:rsid w:val="0024363C"/>
    <w:rsid w:val="00243B1E"/>
    <w:rsid w:val="002C3F52"/>
    <w:rsid w:val="00320ED7"/>
    <w:rsid w:val="00346E97"/>
    <w:rsid w:val="004608A0"/>
    <w:rsid w:val="00470A42"/>
    <w:rsid w:val="0048108D"/>
    <w:rsid w:val="00493DF1"/>
    <w:rsid w:val="004C69F2"/>
    <w:rsid w:val="00542BC9"/>
    <w:rsid w:val="005862F3"/>
    <w:rsid w:val="005E1CF6"/>
    <w:rsid w:val="006A1212"/>
    <w:rsid w:val="006E6BD4"/>
    <w:rsid w:val="00765E0E"/>
    <w:rsid w:val="007C7A24"/>
    <w:rsid w:val="00816AEF"/>
    <w:rsid w:val="008220D8"/>
    <w:rsid w:val="0082351B"/>
    <w:rsid w:val="00872521"/>
    <w:rsid w:val="0088169A"/>
    <w:rsid w:val="00926A15"/>
    <w:rsid w:val="0093164B"/>
    <w:rsid w:val="009537AA"/>
    <w:rsid w:val="009C4D31"/>
    <w:rsid w:val="009D0B41"/>
    <w:rsid w:val="00A504EB"/>
    <w:rsid w:val="00A50697"/>
    <w:rsid w:val="00A87C38"/>
    <w:rsid w:val="00A90163"/>
    <w:rsid w:val="00A943B2"/>
    <w:rsid w:val="00B8494D"/>
    <w:rsid w:val="00BA00A0"/>
    <w:rsid w:val="00BE4872"/>
    <w:rsid w:val="00C22644"/>
    <w:rsid w:val="00C35D2E"/>
    <w:rsid w:val="00C605E0"/>
    <w:rsid w:val="00CC5DF4"/>
    <w:rsid w:val="00D12D56"/>
    <w:rsid w:val="00D90982"/>
    <w:rsid w:val="00D96EA6"/>
    <w:rsid w:val="00DF5D79"/>
    <w:rsid w:val="00E339A0"/>
    <w:rsid w:val="00E36843"/>
    <w:rsid w:val="00E5017C"/>
    <w:rsid w:val="00E70FA5"/>
    <w:rsid w:val="00E74DAA"/>
    <w:rsid w:val="00EB6D88"/>
    <w:rsid w:val="00ED0470"/>
    <w:rsid w:val="00EF43D0"/>
    <w:rsid w:val="00F87928"/>
    <w:rsid w:val="00FA4BE7"/>
    <w:rsid w:val="00FA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1C0CB"/>
  <w15:docId w15:val="{06EEA7A7-D260-448F-8DC8-A4B475C9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B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sid w:val="006E6BD4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rsid w:val="006E6BD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">
    <w:name w:val="Основной текст (3)"/>
    <w:basedOn w:val="a"/>
    <w:rsid w:val="006E6BD4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5">
    <w:name w:val="Style5"/>
    <w:basedOn w:val="a"/>
    <w:rsid w:val="006E6BD4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E6BD4"/>
    <w:pPr>
      <w:spacing w:after="0" w:line="36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6E6BD4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6E6BD4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6E6B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50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069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50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0697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816A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AE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AE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AE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AEF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1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A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Никита Лаврухин</dc:creator>
  <cp:lastModifiedBy>Желудкова Людмила Леонидовна</cp:lastModifiedBy>
  <cp:revision>3</cp:revision>
  <dcterms:created xsi:type="dcterms:W3CDTF">2019-06-14T04:01:00Z</dcterms:created>
  <dcterms:modified xsi:type="dcterms:W3CDTF">2019-06-14T04:01:00Z</dcterms:modified>
</cp:coreProperties>
</file>